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C61BD" w14:textId="1D52BF12" w:rsidR="003138EC" w:rsidRDefault="003138EC" w:rsidP="00302885">
      <w:pPr>
        <w:pStyle w:val="Heading1"/>
        <w:spacing w:before="0"/>
        <w:rPr>
          <w:lang w:val="en-AU"/>
        </w:rPr>
      </w:pPr>
      <w:bookmarkStart w:id="0" w:name="_GoBack"/>
      <w:bookmarkEnd w:id="0"/>
      <w:r w:rsidRPr="002A0DC2">
        <w:rPr>
          <w:lang w:val="en-AU"/>
        </w:rPr>
        <w:t xml:space="preserve">Low </w:t>
      </w:r>
      <w:r w:rsidR="007874D4">
        <w:rPr>
          <w:lang w:val="en-AU"/>
        </w:rPr>
        <w:t>R</w:t>
      </w:r>
      <w:r w:rsidRPr="002A0DC2">
        <w:rPr>
          <w:lang w:val="en-AU"/>
        </w:rPr>
        <w:t>isk Febrile Neutropenia Program</w:t>
      </w:r>
      <w:r w:rsidR="00E55184">
        <w:rPr>
          <w:lang w:val="en-AU"/>
        </w:rPr>
        <w:t xml:space="preserve">: </w:t>
      </w:r>
      <w:r w:rsidR="00E55184" w:rsidRPr="002A0DC2">
        <w:rPr>
          <w:lang w:val="en-AU"/>
        </w:rPr>
        <w:t>Organisational Readiness Assessment</w:t>
      </w:r>
    </w:p>
    <w:p w14:paraId="278B8D2B" w14:textId="77777777" w:rsidR="002A0DC2" w:rsidRPr="00CE1388" w:rsidRDefault="002A0DC2" w:rsidP="002A0DC2">
      <w:pPr>
        <w:rPr>
          <w:sz w:val="20"/>
          <w:lang w:val="en-AU"/>
        </w:rPr>
      </w:pPr>
    </w:p>
    <w:p w14:paraId="2FB35FBF" w14:textId="36B73668" w:rsidR="002A0DC2" w:rsidRDefault="002A0DC2" w:rsidP="002D7DA1">
      <w:pPr>
        <w:jc w:val="both"/>
        <w:rPr>
          <w:lang w:val="en-AU"/>
        </w:rPr>
      </w:pPr>
      <w:r w:rsidRPr="002A0DC2">
        <w:rPr>
          <w:lang w:val="en-AU"/>
        </w:rPr>
        <w:t>Successful implementation</w:t>
      </w:r>
      <w:r w:rsidR="00324F88">
        <w:rPr>
          <w:lang w:val="en-AU"/>
        </w:rPr>
        <w:t xml:space="preserve">, </w:t>
      </w:r>
      <w:r w:rsidR="00662C8F">
        <w:rPr>
          <w:lang w:val="en-AU"/>
        </w:rPr>
        <w:t>evaluation</w:t>
      </w:r>
      <w:r w:rsidRPr="002A0DC2">
        <w:rPr>
          <w:lang w:val="en-AU"/>
        </w:rPr>
        <w:t xml:space="preserve"> and sustainability of a low risk </w:t>
      </w:r>
      <w:r w:rsidR="003F5F4B">
        <w:rPr>
          <w:lang w:val="en-AU"/>
        </w:rPr>
        <w:t>febrile neutropenia (</w:t>
      </w:r>
      <w:r w:rsidRPr="002A0DC2">
        <w:rPr>
          <w:lang w:val="en-AU"/>
        </w:rPr>
        <w:t>FN</w:t>
      </w:r>
      <w:r w:rsidR="003F5F4B">
        <w:rPr>
          <w:lang w:val="en-AU"/>
        </w:rPr>
        <w:t>)</w:t>
      </w:r>
      <w:r w:rsidRPr="002A0DC2">
        <w:rPr>
          <w:lang w:val="en-AU"/>
        </w:rPr>
        <w:t xml:space="preserve"> program requires input and oversite from key stakeholders involved in the care of </w:t>
      </w:r>
      <w:r>
        <w:rPr>
          <w:lang w:val="en-AU"/>
        </w:rPr>
        <w:t>p</w:t>
      </w:r>
      <w:r w:rsidR="006F05CE">
        <w:rPr>
          <w:lang w:val="en-AU"/>
        </w:rPr>
        <w:t>atients with cancer and FN. The</w:t>
      </w:r>
      <w:r>
        <w:rPr>
          <w:lang w:val="en-AU"/>
        </w:rPr>
        <w:t xml:space="preserve"> stakeholders include medical and nursing representatives from haematology/oncology, infectious diseases</w:t>
      </w:r>
      <w:r w:rsidR="006F05CE">
        <w:rPr>
          <w:lang w:val="en-AU"/>
        </w:rPr>
        <w:t xml:space="preserve"> (ID)</w:t>
      </w:r>
      <w:r w:rsidR="00A321E0">
        <w:rPr>
          <w:lang w:val="en-AU"/>
        </w:rPr>
        <w:t xml:space="preserve">, hospital in the home (HITH), </w:t>
      </w:r>
      <w:r>
        <w:rPr>
          <w:lang w:val="en-AU"/>
        </w:rPr>
        <w:t>the emergency department</w:t>
      </w:r>
      <w:r w:rsidR="006F05CE">
        <w:rPr>
          <w:lang w:val="en-AU"/>
        </w:rPr>
        <w:t xml:space="preserve"> (ED)</w:t>
      </w:r>
      <w:r>
        <w:rPr>
          <w:lang w:val="en-AU"/>
        </w:rPr>
        <w:t xml:space="preserve"> </w:t>
      </w:r>
      <w:r w:rsidR="00A321E0">
        <w:rPr>
          <w:lang w:val="en-AU"/>
        </w:rPr>
        <w:t>and bed management</w:t>
      </w:r>
      <w:r w:rsidR="008C4E22">
        <w:rPr>
          <w:lang w:val="en-AU"/>
        </w:rPr>
        <w:t>,</w:t>
      </w:r>
      <w:r w:rsidR="00A321E0">
        <w:rPr>
          <w:lang w:val="en-AU"/>
        </w:rPr>
        <w:t xml:space="preserve"> </w:t>
      </w:r>
      <w:r>
        <w:rPr>
          <w:lang w:val="en-AU"/>
        </w:rPr>
        <w:t xml:space="preserve">as well as pharmacy and quality improvement. Where possible, consumer </w:t>
      </w:r>
      <w:r w:rsidR="0040116A">
        <w:rPr>
          <w:lang w:val="en-AU"/>
        </w:rPr>
        <w:t>representation</w:t>
      </w:r>
      <w:r>
        <w:rPr>
          <w:lang w:val="en-AU"/>
        </w:rPr>
        <w:t xml:space="preserve"> should also be sought. A steering group</w:t>
      </w:r>
      <w:r w:rsidR="006F05CE">
        <w:rPr>
          <w:lang w:val="en-AU"/>
        </w:rPr>
        <w:t xml:space="preserve"> </w:t>
      </w:r>
      <w:r w:rsidR="00CE1388">
        <w:rPr>
          <w:lang w:val="en-AU"/>
        </w:rPr>
        <w:t>that</w:t>
      </w:r>
      <w:r w:rsidR="006F05CE">
        <w:rPr>
          <w:lang w:val="en-AU"/>
        </w:rPr>
        <w:t xml:space="preserve"> includes</w:t>
      </w:r>
      <w:r>
        <w:rPr>
          <w:lang w:val="en-AU"/>
        </w:rPr>
        <w:t xml:space="preserve"> representatives from each of these </w:t>
      </w:r>
      <w:r w:rsidR="006F05CE">
        <w:rPr>
          <w:lang w:val="en-AU"/>
        </w:rPr>
        <w:t>departments</w:t>
      </w:r>
      <w:r>
        <w:rPr>
          <w:lang w:val="en-AU"/>
        </w:rPr>
        <w:t xml:space="preserve"> </w:t>
      </w:r>
      <w:r w:rsidR="006F05CE">
        <w:rPr>
          <w:lang w:val="en-AU"/>
        </w:rPr>
        <w:t xml:space="preserve">should be formalised to oversee implementation and evaluation of the program. </w:t>
      </w:r>
    </w:p>
    <w:p w14:paraId="0F6CF3E9" w14:textId="77777777" w:rsidR="006F05CE" w:rsidRPr="00CE1388" w:rsidRDefault="006F05CE" w:rsidP="002D7DA1">
      <w:pPr>
        <w:jc w:val="both"/>
        <w:rPr>
          <w:sz w:val="20"/>
          <w:lang w:val="en-AU"/>
        </w:rPr>
      </w:pPr>
    </w:p>
    <w:p w14:paraId="61D5FD18" w14:textId="526A3A6E" w:rsidR="006F05CE" w:rsidRDefault="006F05CE" w:rsidP="002D7DA1">
      <w:pPr>
        <w:jc w:val="both"/>
        <w:rPr>
          <w:lang w:val="en-AU"/>
        </w:rPr>
      </w:pPr>
      <w:r>
        <w:rPr>
          <w:lang w:val="en-AU"/>
        </w:rPr>
        <w:t xml:space="preserve">The following organisational readiness assessment tool outlines specific items under the </w:t>
      </w:r>
      <w:r w:rsidR="00324F88">
        <w:rPr>
          <w:lang w:val="en-AU"/>
        </w:rPr>
        <w:t>four</w:t>
      </w:r>
      <w:r>
        <w:rPr>
          <w:lang w:val="en-AU"/>
        </w:rPr>
        <w:t xml:space="preserve"> domai</w:t>
      </w:r>
      <w:r w:rsidR="00CE1388">
        <w:rPr>
          <w:lang w:val="en-AU"/>
        </w:rPr>
        <w:t xml:space="preserve">ns of (i) </w:t>
      </w:r>
      <w:r w:rsidR="00324F88">
        <w:rPr>
          <w:lang w:val="en-AU"/>
        </w:rPr>
        <w:t xml:space="preserve">organisation (ii) </w:t>
      </w:r>
      <w:r w:rsidR="00CE1388">
        <w:rPr>
          <w:lang w:val="en-AU"/>
        </w:rPr>
        <w:t>people (ii</w:t>
      </w:r>
      <w:r w:rsidR="00324F88">
        <w:rPr>
          <w:lang w:val="en-AU"/>
        </w:rPr>
        <w:t>i</w:t>
      </w:r>
      <w:r w:rsidR="00CE1388">
        <w:rPr>
          <w:lang w:val="en-AU"/>
        </w:rPr>
        <w:t>) policy and</w:t>
      </w:r>
      <w:r>
        <w:rPr>
          <w:lang w:val="en-AU"/>
        </w:rPr>
        <w:t xml:space="preserve"> process and </w:t>
      </w:r>
      <w:r w:rsidR="00324F88">
        <w:rPr>
          <w:lang w:val="en-AU"/>
        </w:rPr>
        <w:t xml:space="preserve">(iv) </w:t>
      </w:r>
      <w:r>
        <w:rPr>
          <w:lang w:val="en-AU"/>
        </w:rPr>
        <w:t>infrastructure that should be consider</w:t>
      </w:r>
      <w:r w:rsidR="0040116A">
        <w:rPr>
          <w:lang w:val="en-AU"/>
        </w:rPr>
        <w:t>ed</w:t>
      </w:r>
      <w:r>
        <w:rPr>
          <w:lang w:val="en-AU"/>
        </w:rPr>
        <w:t xml:space="preserve"> prior </w:t>
      </w:r>
      <w:r w:rsidR="00CE1388">
        <w:rPr>
          <w:lang w:val="en-AU"/>
        </w:rPr>
        <w:t xml:space="preserve">to </w:t>
      </w:r>
      <w:r>
        <w:rPr>
          <w:lang w:val="en-AU"/>
        </w:rPr>
        <w:t xml:space="preserve">and during the implementation phase.  </w:t>
      </w:r>
    </w:p>
    <w:p w14:paraId="695B7E8C" w14:textId="77777777" w:rsidR="006F1B53" w:rsidRPr="00CE1388" w:rsidRDefault="006F1B53" w:rsidP="002A0DC2">
      <w:pPr>
        <w:rPr>
          <w:sz w:val="20"/>
          <w:lang w:val="en-AU"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3076"/>
        <w:gridCol w:w="3076"/>
        <w:gridCol w:w="3076"/>
        <w:gridCol w:w="3100"/>
        <w:gridCol w:w="3260"/>
      </w:tblGrid>
      <w:tr w:rsidR="0013171D" w14:paraId="46B3A241" w14:textId="1927D4DA" w:rsidTr="00744986">
        <w:trPr>
          <w:trHeight w:val="495"/>
        </w:trPr>
        <w:tc>
          <w:tcPr>
            <w:tcW w:w="3076" w:type="dxa"/>
            <w:shd w:val="clear" w:color="auto" w:fill="92D050"/>
          </w:tcPr>
          <w:p w14:paraId="464C2E17" w14:textId="03B1E5EF" w:rsidR="0013171D" w:rsidRPr="006F1B53" w:rsidRDefault="0013171D" w:rsidP="00F73F4F">
            <w:pPr>
              <w:jc w:val="center"/>
              <w:rPr>
                <w:b/>
                <w:lang w:val="en-AU"/>
              </w:rPr>
            </w:pPr>
            <w:r w:rsidRPr="006F1B53">
              <w:rPr>
                <w:b/>
                <w:lang w:val="en-AU"/>
              </w:rPr>
              <w:t>On track</w:t>
            </w:r>
          </w:p>
        </w:tc>
        <w:tc>
          <w:tcPr>
            <w:tcW w:w="3076" w:type="dxa"/>
            <w:shd w:val="clear" w:color="auto" w:fill="FF9900"/>
          </w:tcPr>
          <w:p w14:paraId="1E8978C4" w14:textId="5ACEAD5B" w:rsidR="0013171D" w:rsidRPr="00F73F4F" w:rsidRDefault="0013171D" w:rsidP="00F73F4F">
            <w:pPr>
              <w:jc w:val="center"/>
              <w:rPr>
                <w:b/>
                <w:lang w:val="en-AU"/>
              </w:rPr>
            </w:pPr>
            <w:r w:rsidRPr="006F1B53">
              <w:rPr>
                <w:b/>
                <w:lang w:val="en-AU"/>
              </w:rPr>
              <w:t>Improvement required</w:t>
            </w:r>
          </w:p>
        </w:tc>
        <w:tc>
          <w:tcPr>
            <w:tcW w:w="3076" w:type="dxa"/>
            <w:shd w:val="clear" w:color="auto" w:fill="FF5050"/>
          </w:tcPr>
          <w:p w14:paraId="3C4E7115" w14:textId="45DD6A5A" w:rsidR="0013171D" w:rsidRPr="006F1B53" w:rsidRDefault="0013171D" w:rsidP="00F73F4F">
            <w:pPr>
              <w:jc w:val="center"/>
              <w:rPr>
                <w:b/>
                <w:lang w:val="en-AU"/>
              </w:rPr>
            </w:pPr>
            <w:r w:rsidRPr="006F1B53">
              <w:rPr>
                <w:b/>
                <w:lang w:val="en-AU"/>
              </w:rPr>
              <w:t>At risk</w:t>
            </w:r>
          </w:p>
        </w:tc>
        <w:tc>
          <w:tcPr>
            <w:tcW w:w="3100" w:type="dxa"/>
            <w:shd w:val="clear" w:color="auto" w:fill="BDD6EE" w:themeFill="accent5" w:themeFillTint="66"/>
          </w:tcPr>
          <w:p w14:paraId="6386D559" w14:textId="5A45E6EB" w:rsidR="0013171D" w:rsidRPr="006F1B53" w:rsidRDefault="0013171D" w:rsidP="00F73F4F">
            <w:pPr>
              <w:jc w:val="center"/>
              <w:rPr>
                <w:b/>
                <w:lang w:val="en-AU"/>
              </w:rPr>
            </w:pPr>
            <w:r w:rsidRPr="006F1B53">
              <w:rPr>
                <w:b/>
                <w:lang w:val="en-AU"/>
              </w:rPr>
              <w:t>Complete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14:paraId="281D7D92" w14:textId="179F01C1" w:rsidR="0013171D" w:rsidRPr="006F1B53" w:rsidRDefault="0013171D" w:rsidP="006F1B53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Not applicable</w:t>
            </w:r>
          </w:p>
        </w:tc>
      </w:tr>
      <w:tr w:rsidR="0013171D" w14:paraId="16F368F7" w14:textId="0E6723BB" w:rsidTr="00744986">
        <w:trPr>
          <w:trHeight w:val="1122"/>
        </w:trPr>
        <w:tc>
          <w:tcPr>
            <w:tcW w:w="3076" w:type="dxa"/>
            <w:shd w:val="clear" w:color="auto" w:fill="92D050"/>
          </w:tcPr>
          <w:p w14:paraId="7464792B" w14:textId="118FF18F" w:rsidR="0013171D" w:rsidRPr="006F1B53" w:rsidRDefault="0013171D" w:rsidP="002A0D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current organisational state is on target for achieving a state of organisational readiness in this area to support the project effectively.</w:t>
            </w:r>
          </w:p>
        </w:tc>
        <w:tc>
          <w:tcPr>
            <w:tcW w:w="3076" w:type="dxa"/>
            <w:shd w:val="clear" w:color="auto" w:fill="FF9900"/>
          </w:tcPr>
          <w:p w14:paraId="4D89537E" w14:textId="77777777" w:rsidR="0013171D" w:rsidRPr="006F1B53" w:rsidRDefault="0013171D" w:rsidP="002A0D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There is potential for full program benefits not to be achieved without intervention.  Opportunities exist to strengthen this area within the organisation to support project activities.</w:t>
            </w:r>
          </w:p>
        </w:tc>
        <w:tc>
          <w:tcPr>
            <w:tcW w:w="3076" w:type="dxa"/>
            <w:shd w:val="clear" w:color="auto" w:fill="FF5050"/>
          </w:tcPr>
          <w:p w14:paraId="2854DFC4" w14:textId="77777777" w:rsidR="0013171D" w:rsidRPr="006F1B53" w:rsidRDefault="0013171D" w:rsidP="002A0D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current organisational state is likely to impact the successful outcome of the project.  Significant work required in this area prior to the organisation undertaking project activities in this phase.</w:t>
            </w:r>
          </w:p>
        </w:tc>
        <w:tc>
          <w:tcPr>
            <w:tcW w:w="3100" w:type="dxa"/>
            <w:shd w:val="clear" w:color="auto" w:fill="BDD6EE" w:themeFill="accent5" w:themeFillTint="66"/>
          </w:tcPr>
          <w:p w14:paraId="7177AB4C" w14:textId="57E8505F" w:rsidR="0013171D" w:rsidRPr="00496E95" w:rsidRDefault="0013171D" w:rsidP="002A0D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Evidence can be provided to support the organisational readiness in this area and for the project to operate effectively.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14:paraId="25D280AC" w14:textId="3FD93404" w:rsidR="0013171D" w:rsidRDefault="0013171D" w:rsidP="002A0D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Outlined requirement is not applicable for this quarter.</w:t>
            </w:r>
          </w:p>
        </w:tc>
      </w:tr>
    </w:tbl>
    <w:p w14:paraId="130E8401" w14:textId="77777777" w:rsidR="00D54059" w:rsidRDefault="00D54059">
      <w:pPr>
        <w:rPr>
          <w:lang w:val="en-AU"/>
        </w:rPr>
      </w:pPr>
    </w:p>
    <w:tbl>
      <w:tblPr>
        <w:tblStyle w:val="TableGrid"/>
        <w:tblW w:w="22923" w:type="dxa"/>
        <w:tblLook w:val="04A0" w:firstRow="1" w:lastRow="0" w:firstColumn="1" w:lastColumn="0" w:noHBand="0" w:noVBand="1"/>
      </w:tblPr>
      <w:tblGrid>
        <w:gridCol w:w="2111"/>
        <w:gridCol w:w="7617"/>
        <w:gridCol w:w="487"/>
        <w:gridCol w:w="487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3"/>
        <w:gridCol w:w="7364"/>
      </w:tblGrid>
      <w:tr w:rsidR="00744986" w:rsidRPr="006F05CE" w14:paraId="0DA12A35" w14:textId="77777777" w:rsidTr="00912735">
        <w:trPr>
          <w:gridAfter w:val="1"/>
          <w:wAfter w:w="7364" w:type="dxa"/>
          <w:trHeight w:val="268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37AE8652" w14:textId="77777777" w:rsidR="00744986" w:rsidRPr="006F05CE" w:rsidRDefault="00744986" w:rsidP="006C771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3D63B8AD" w14:textId="77777777" w:rsidR="00744986" w:rsidRPr="006F05CE" w:rsidRDefault="00744986" w:rsidP="00E66B2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1F3864" w:themeFill="accent1" w:themeFillShade="80"/>
          </w:tcPr>
          <w:p w14:paraId="65921443" w14:textId="4089E4AD" w:rsidR="00744986" w:rsidRPr="00744986" w:rsidRDefault="00744986" w:rsidP="00744986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744986">
              <w:rPr>
                <w:rFonts w:ascii="Arial" w:hAnsi="Arial" w:cs="Arial"/>
                <w:b/>
                <w:sz w:val="20"/>
                <w:szCs w:val="20"/>
                <w:lang w:val="en-AU"/>
              </w:rPr>
              <w:t>2019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1F3864" w:themeFill="accent1" w:themeFillShade="80"/>
          </w:tcPr>
          <w:p w14:paraId="71D38800" w14:textId="661EBDD8" w:rsidR="00744986" w:rsidRPr="00744986" w:rsidRDefault="00744986" w:rsidP="00744986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744986">
              <w:rPr>
                <w:rFonts w:ascii="Arial" w:hAnsi="Arial" w:cs="Arial"/>
                <w:b/>
                <w:sz w:val="20"/>
                <w:szCs w:val="20"/>
                <w:lang w:val="en-AU"/>
              </w:rPr>
              <w:t>2021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18" w:space="0" w:color="auto"/>
            </w:tcBorders>
            <w:shd w:val="clear" w:color="auto" w:fill="1F3864" w:themeFill="accent1" w:themeFillShade="80"/>
          </w:tcPr>
          <w:p w14:paraId="15CDA78B" w14:textId="2D680146" w:rsidR="00744986" w:rsidRPr="00744986" w:rsidRDefault="00744986" w:rsidP="00744986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744986">
              <w:rPr>
                <w:rFonts w:ascii="Arial" w:hAnsi="Arial" w:cs="Arial"/>
                <w:b/>
                <w:sz w:val="20"/>
                <w:szCs w:val="20"/>
                <w:lang w:val="en-AU"/>
              </w:rPr>
              <w:t>2022</w:t>
            </w:r>
          </w:p>
        </w:tc>
      </w:tr>
      <w:tr w:rsidR="00C731EE" w:rsidRPr="006F05CE" w14:paraId="24B0A415" w14:textId="2F4CB8E8" w:rsidTr="00912735">
        <w:trPr>
          <w:gridAfter w:val="1"/>
          <w:wAfter w:w="7364" w:type="dxa"/>
          <w:trHeight w:val="268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E6D41C" w14:textId="77777777" w:rsidR="006C7718" w:rsidRPr="006F05CE" w:rsidRDefault="006C7718" w:rsidP="006C7718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41E40" w14:textId="434EB1BA" w:rsidR="006C7718" w:rsidRPr="006F05CE" w:rsidRDefault="006C7718" w:rsidP="00E66B2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49E93C31" w14:textId="6F5B9131" w:rsidR="006C7718" w:rsidRPr="006F05CE" w:rsidRDefault="006C7718" w:rsidP="006C77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Q1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13B6ED75" w14:textId="26DDE7C8" w:rsidR="006C7718" w:rsidRPr="006F05CE" w:rsidRDefault="006C7718" w:rsidP="006C77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Q2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6BC06A2F" w14:textId="7B6238F0" w:rsidR="006C7718" w:rsidRPr="006F05CE" w:rsidRDefault="006C7718" w:rsidP="006C77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Q</w:t>
            </w:r>
            <w:r w:rsidR="00604725">
              <w:rPr>
                <w:rFonts w:ascii="Arial" w:hAnsi="Arial" w:cs="Arial"/>
                <w:b/>
                <w:sz w:val="20"/>
                <w:szCs w:val="20"/>
                <w:lang w:val="en-A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4FB66E41" w14:textId="6B8FA673" w:rsidR="006C7718" w:rsidRPr="006F05CE" w:rsidRDefault="006C7718" w:rsidP="006C77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Q</w:t>
            </w:r>
            <w:r w:rsidR="00604725">
              <w:rPr>
                <w:rFonts w:ascii="Arial" w:hAnsi="Arial" w:cs="Arial"/>
                <w:b/>
                <w:sz w:val="20"/>
                <w:szCs w:val="20"/>
                <w:lang w:val="en-A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3DC759D3" w14:textId="6AB0D5C8" w:rsidR="006C7718" w:rsidRPr="006F05CE" w:rsidRDefault="006C7718" w:rsidP="006C77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Q</w:t>
            </w:r>
            <w:r w:rsidR="00604725">
              <w:rPr>
                <w:rFonts w:ascii="Arial" w:hAnsi="Arial" w:cs="Arial"/>
                <w:b/>
                <w:sz w:val="20"/>
                <w:szCs w:val="20"/>
                <w:lang w:val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31566521" w14:textId="15E91329" w:rsidR="006C7718" w:rsidRPr="006F05CE" w:rsidRDefault="006C7718" w:rsidP="006C77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Q</w:t>
            </w:r>
            <w:r w:rsidR="00604725">
              <w:rPr>
                <w:rFonts w:ascii="Arial" w:hAnsi="Arial" w:cs="Arial"/>
                <w:b/>
                <w:sz w:val="20"/>
                <w:szCs w:val="20"/>
                <w:lang w:val="en-A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20CAF7E3" w14:textId="316F0CA9" w:rsidR="006C7718" w:rsidRPr="006F05CE" w:rsidRDefault="006C7718" w:rsidP="006C77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Q</w:t>
            </w:r>
            <w:r w:rsidR="00604725">
              <w:rPr>
                <w:rFonts w:ascii="Arial" w:hAnsi="Arial" w:cs="Arial"/>
                <w:b/>
                <w:sz w:val="20"/>
                <w:szCs w:val="20"/>
                <w:lang w:val="en-A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069C3CA9" w14:textId="5E3F278D" w:rsidR="006C7718" w:rsidRPr="006F05CE" w:rsidRDefault="006C7718" w:rsidP="006C77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Q</w:t>
            </w:r>
            <w:r w:rsidR="00604725">
              <w:rPr>
                <w:rFonts w:ascii="Arial" w:hAnsi="Arial" w:cs="Arial"/>
                <w:b/>
                <w:sz w:val="20"/>
                <w:szCs w:val="20"/>
                <w:lang w:val="en-A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34C748C2" w14:textId="3C7409AE" w:rsidR="006C7718" w:rsidRPr="006F05CE" w:rsidRDefault="006C7718" w:rsidP="006C77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Q</w:t>
            </w:r>
            <w:r w:rsidR="00604725">
              <w:rPr>
                <w:rFonts w:ascii="Arial" w:hAnsi="Arial" w:cs="Arial"/>
                <w:b/>
                <w:sz w:val="20"/>
                <w:szCs w:val="20"/>
                <w:lang w:val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21AD457B" w14:textId="1782D583" w:rsidR="006C7718" w:rsidRPr="006F05CE" w:rsidRDefault="006C7718" w:rsidP="006C77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Q</w:t>
            </w:r>
            <w:r w:rsidR="00604725">
              <w:rPr>
                <w:rFonts w:ascii="Arial" w:hAnsi="Arial" w:cs="Arial"/>
                <w:b/>
                <w:sz w:val="20"/>
                <w:szCs w:val="20"/>
                <w:lang w:val="en-A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0BA3B80C" w14:textId="39CE22B4" w:rsidR="006C7718" w:rsidRDefault="006C7718" w:rsidP="006C77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Q</w:t>
            </w:r>
            <w:r w:rsidR="00604725">
              <w:rPr>
                <w:rFonts w:ascii="Arial" w:hAnsi="Arial" w:cs="Arial"/>
                <w:b/>
                <w:sz w:val="20"/>
                <w:szCs w:val="20"/>
                <w:lang w:val="en-A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8E13FA8" w14:textId="4FFD772F" w:rsidR="006C7718" w:rsidRDefault="006C7718" w:rsidP="006C77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Q</w:t>
            </w:r>
            <w:r w:rsidR="00604725">
              <w:rPr>
                <w:rFonts w:ascii="Arial" w:hAnsi="Arial" w:cs="Arial"/>
                <w:b/>
                <w:sz w:val="20"/>
                <w:szCs w:val="20"/>
                <w:lang w:val="en-AU"/>
              </w:rPr>
              <w:t>4</w:t>
            </w:r>
          </w:p>
        </w:tc>
      </w:tr>
      <w:tr w:rsidR="00912735" w:rsidRPr="006F05CE" w14:paraId="202863C4" w14:textId="77777777" w:rsidTr="00912735">
        <w:trPr>
          <w:gridAfter w:val="1"/>
          <w:wAfter w:w="7364" w:type="dxa"/>
          <w:trHeight w:val="264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6598D96E" w14:textId="6C21326C" w:rsidR="00A25C90" w:rsidRPr="006F05CE" w:rsidRDefault="002D7DA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ORGANISATION</w:t>
            </w:r>
          </w:p>
        </w:tc>
        <w:tc>
          <w:tcPr>
            <w:tcW w:w="7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33DA40C1" w14:textId="77777777" w:rsidR="00A25C90" w:rsidRPr="00A25C90" w:rsidRDefault="00A25C90" w:rsidP="00A25C9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56F30640" w14:textId="77777777" w:rsidR="00A25C90" w:rsidRPr="006F05CE" w:rsidRDefault="00A25C9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1F3864" w:themeFill="accent1" w:themeFillShade="80"/>
          </w:tcPr>
          <w:p w14:paraId="4443B2CC" w14:textId="77777777" w:rsidR="00A25C90" w:rsidRPr="006F05CE" w:rsidRDefault="00A25C9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742F0503" w14:textId="77777777" w:rsidR="00A25C90" w:rsidRPr="006F05CE" w:rsidRDefault="00A25C9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4AE03A2D" w14:textId="77777777" w:rsidR="00A25C90" w:rsidRPr="006F05CE" w:rsidRDefault="00A25C9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1724B461" w14:textId="77777777" w:rsidR="00A25C90" w:rsidRPr="006F05CE" w:rsidRDefault="00A25C9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1F3864" w:themeFill="accent1" w:themeFillShade="80"/>
          </w:tcPr>
          <w:p w14:paraId="7628B385" w14:textId="77777777" w:rsidR="00A25C90" w:rsidRPr="006F05CE" w:rsidRDefault="00A25C9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127BDDB2" w14:textId="77777777" w:rsidR="00A25C90" w:rsidRPr="006F05CE" w:rsidRDefault="00A25C9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34F4AA31" w14:textId="77777777" w:rsidR="00A25C90" w:rsidRPr="006F05CE" w:rsidRDefault="00A25C9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2931D9F1" w14:textId="77777777" w:rsidR="00A25C90" w:rsidRPr="006F05CE" w:rsidRDefault="00A25C9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1F3864" w:themeFill="accent1" w:themeFillShade="80"/>
          </w:tcPr>
          <w:p w14:paraId="7882B89B" w14:textId="77777777" w:rsidR="00A25C90" w:rsidRPr="006F05CE" w:rsidRDefault="00A25C9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49F10C24" w14:textId="77777777" w:rsidR="00A25C90" w:rsidRPr="006F05CE" w:rsidRDefault="00A25C9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3F6BA868" w14:textId="77777777" w:rsidR="00A25C90" w:rsidRPr="006F05CE" w:rsidRDefault="00A25C9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2D7DA1" w:rsidRPr="006F05CE" w14:paraId="4A383C4D" w14:textId="77777777" w:rsidTr="00912735">
        <w:trPr>
          <w:gridAfter w:val="1"/>
          <w:wAfter w:w="7364" w:type="dxa"/>
          <w:trHeight w:val="626"/>
        </w:trPr>
        <w:tc>
          <w:tcPr>
            <w:tcW w:w="2094" w:type="dxa"/>
            <w:tcBorders>
              <w:top w:val="single" w:sz="4" w:space="0" w:color="auto"/>
            </w:tcBorders>
          </w:tcPr>
          <w:p w14:paraId="208DE5ED" w14:textId="3E8F8743" w:rsidR="002D7DA1" w:rsidRPr="006F05CE" w:rsidRDefault="00577F8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Organisational support</w:t>
            </w:r>
          </w:p>
        </w:tc>
        <w:tc>
          <w:tcPr>
            <w:tcW w:w="7561" w:type="dxa"/>
            <w:tcBorders>
              <w:top w:val="single" w:sz="4" w:space="0" w:color="auto"/>
            </w:tcBorders>
          </w:tcPr>
          <w:p w14:paraId="7EBA7C80" w14:textId="70A69FD5" w:rsidR="002D7DA1" w:rsidRPr="00C07CEF" w:rsidRDefault="002D7DA1" w:rsidP="00C07CE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All phases of the program, including implementation, evaluation and sustainability planning has executive level support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3473EAC" w14:textId="77777777" w:rsidR="002D7DA1" w:rsidRPr="006F05CE" w:rsidRDefault="002D7DA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6F3C3635" w14:textId="77777777" w:rsidR="002D7DA1" w:rsidRPr="006F05CE" w:rsidRDefault="002D7DA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73F87467" w14:textId="77777777" w:rsidR="002D7DA1" w:rsidRPr="006F05CE" w:rsidRDefault="002D7DA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1D969C04" w14:textId="77777777" w:rsidR="002D7DA1" w:rsidRPr="006F05CE" w:rsidRDefault="002D7DA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35EBFE06" w14:textId="77777777" w:rsidR="002D7DA1" w:rsidRPr="006F05CE" w:rsidRDefault="002D7DA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397D0B57" w14:textId="77777777" w:rsidR="002D7DA1" w:rsidRPr="006F05CE" w:rsidRDefault="002D7DA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0D28D64F" w14:textId="77777777" w:rsidR="002D7DA1" w:rsidRPr="006F05CE" w:rsidRDefault="002D7DA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72B25609" w14:textId="77777777" w:rsidR="002D7DA1" w:rsidRPr="006F05CE" w:rsidRDefault="002D7DA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3E9B8018" w14:textId="77777777" w:rsidR="002D7DA1" w:rsidRPr="006F05CE" w:rsidRDefault="002D7DA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6E8DF70D" w14:textId="77777777" w:rsidR="002D7DA1" w:rsidRPr="006F05CE" w:rsidRDefault="002D7DA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574BA1DC" w14:textId="77777777" w:rsidR="002D7DA1" w:rsidRPr="006F05CE" w:rsidRDefault="002D7DA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B8D63BF" w14:textId="77777777" w:rsidR="002D7DA1" w:rsidRPr="006F05CE" w:rsidRDefault="002D7DA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98571C" w:rsidRPr="006F05CE" w14:paraId="67E909F0" w14:textId="77777777" w:rsidTr="00912735">
        <w:trPr>
          <w:gridAfter w:val="1"/>
          <w:wAfter w:w="7364" w:type="dxa"/>
          <w:trHeight w:val="626"/>
        </w:trPr>
        <w:tc>
          <w:tcPr>
            <w:tcW w:w="2094" w:type="dxa"/>
            <w:tcBorders>
              <w:top w:val="single" w:sz="4" w:space="0" w:color="auto"/>
            </w:tcBorders>
          </w:tcPr>
          <w:p w14:paraId="2E945D8B" w14:textId="2B325F11" w:rsidR="0098571C" w:rsidRDefault="0098571C" w:rsidP="00FA72A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Governance</w:t>
            </w:r>
          </w:p>
        </w:tc>
        <w:tc>
          <w:tcPr>
            <w:tcW w:w="7561" w:type="dxa"/>
            <w:tcBorders>
              <w:top w:val="single" w:sz="4" w:space="0" w:color="auto"/>
            </w:tcBorders>
          </w:tcPr>
          <w:p w14:paraId="0CD55AA4" w14:textId="12CDBD34" w:rsidR="0098571C" w:rsidRDefault="0098571C" w:rsidP="00577F8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Activity of the program, including number of patients treated on the program, reductions in in-hospital LOS, number of bed days saved and any adverse events will be reported to the relevant stakeholders as well as hospital executive and quality departments.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0030171" w14:textId="77777777" w:rsidR="0098571C" w:rsidRPr="006F05CE" w:rsidRDefault="0098571C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3E5B5146" w14:textId="77777777" w:rsidR="0098571C" w:rsidRPr="006F05CE" w:rsidRDefault="0098571C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5049C2C5" w14:textId="77777777" w:rsidR="0098571C" w:rsidRPr="006F05CE" w:rsidRDefault="0098571C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38C1DF53" w14:textId="77777777" w:rsidR="0098571C" w:rsidRPr="006F05CE" w:rsidRDefault="0098571C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00A1523E" w14:textId="77777777" w:rsidR="0098571C" w:rsidRPr="006F05CE" w:rsidRDefault="0098571C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47DCB4E4" w14:textId="77777777" w:rsidR="0098571C" w:rsidRPr="006F05CE" w:rsidRDefault="0098571C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79147AA6" w14:textId="77777777" w:rsidR="0098571C" w:rsidRPr="006F05CE" w:rsidRDefault="0098571C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21B22639" w14:textId="77777777" w:rsidR="0098571C" w:rsidRPr="006F05CE" w:rsidRDefault="0098571C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4A710C2F" w14:textId="77777777" w:rsidR="0098571C" w:rsidRPr="006F05CE" w:rsidRDefault="0098571C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6DED38BE" w14:textId="77777777" w:rsidR="0098571C" w:rsidRPr="006F05CE" w:rsidRDefault="0098571C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40A6D0C7" w14:textId="77777777" w:rsidR="0098571C" w:rsidRPr="006F05CE" w:rsidRDefault="0098571C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AA43097" w14:textId="77777777" w:rsidR="0098571C" w:rsidRPr="006F05CE" w:rsidRDefault="0098571C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577F88" w:rsidRPr="006F05CE" w14:paraId="0AFBB6A5" w14:textId="77777777" w:rsidTr="00912735">
        <w:trPr>
          <w:gridAfter w:val="1"/>
          <w:wAfter w:w="7364" w:type="dxa"/>
          <w:trHeight w:val="626"/>
        </w:trPr>
        <w:tc>
          <w:tcPr>
            <w:tcW w:w="2094" w:type="dxa"/>
            <w:tcBorders>
              <w:top w:val="single" w:sz="4" w:space="0" w:color="auto"/>
            </w:tcBorders>
          </w:tcPr>
          <w:p w14:paraId="6E90638C" w14:textId="2B5245E8" w:rsidR="00577F88" w:rsidRPr="006F05CE" w:rsidRDefault="00090A70" w:rsidP="00FA72A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Specialised departmental support</w:t>
            </w:r>
          </w:p>
        </w:tc>
        <w:tc>
          <w:tcPr>
            <w:tcW w:w="7561" w:type="dxa"/>
            <w:tcBorders>
              <w:top w:val="single" w:sz="4" w:space="0" w:color="auto"/>
            </w:tcBorders>
          </w:tcPr>
          <w:p w14:paraId="3447EF97" w14:textId="45B967FA" w:rsidR="00577F88" w:rsidRPr="00C07CEF" w:rsidRDefault="00090A70" w:rsidP="00577F8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All phases of the program, including implementation, evaluation and sustainability planning has departmental support from oncology, infectious diseases (ID), hospital-in-the-home (HITH) (or equivalent), emergency medicine, pharmacy.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6BF45E7" w14:textId="77777777" w:rsidR="00577F88" w:rsidRPr="006F05CE" w:rsidRDefault="00577F88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32E984C9" w14:textId="77777777" w:rsidR="00577F88" w:rsidRPr="006F05CE" w:rsidRDefault="00577F88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4397F301" w14:textId="77777777" w:rsidR="00577F88" w:rsidRPr="006F05CE" w:rsidRDefault="00577F88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37523AFD" w14:textId="77777777" w:rsidR="00577F88" w:rsidRPr="006F05CE" w:rsidRDefault="00577F88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68ADDCA4" w14:textId="77777777" w:rsidR="00577F88" w:rsidRPr="006F05CE" w:rsidRDefault="00577F88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70F66C85" w14:textId="77777777" w:rsidR="00577F88" w:rsidRPr="006F05CE" w:rsidRDefault="00577F88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38AE2E91" w14:textId="77777777" w:rsidR="00577F88" w:rsidRPr="006F05CE" w:rsidRDefault="00577F88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0D3D3B15" w14:textId="77777777" w:rsidR="00577F88" w:rsidRPr="006F05CE" w:rsidRDefault="00577F88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01105645" w14:textId="77777777" w:rsidR="00577F88" w:rsidRPr="006F05CE" w:rsidRDefault="00577F88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6ACA4D09" w14:textId="77777777" w:rsidR="00577F88" w:rsidRPr="006F05CE" w:rsidRDefault="00577F88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6DFA4668" w14:textId="77777777" w:rsidR="00577F88" w:rsidRPr="006F05CE" w:rsidRDefault="00577F88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56BFDFE" w14:textId="77777777" w:rsidR="00577F88" w:rsidRPr="006F05CE" w:rsidRDefault="00577F88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FA72AE" w:rsidRPr="006F05CE" w14:paraId="54F097B2" w14:textId="77777777" w:rsidTr="00912735">
        <w:trPr>
          <w:gridAfter w:val="1"/>
          <w:wAfter w:w="7364" w:type="dxa"/>
          <w:trHeight w:val="626"/>
        </w:trPr>
        <w:tc>
          <w:tcPr>
            <w:tcW w:w="2094" w:type="dxa"/>
            <w:tcBorders>
              <w:top w:val="single" w:sz="4" w:space="0" w:color="auto"/>
            </w:tcBorders>
          </w:tcPr>
          <w:p w14:paraId="4019F7D6" w14:textId="6BD3409C" w:rsidR="00FA72AE" w:rsidRPr="006F05CE" w:rsidRDefault="00FA72AE" w:rsidP="00FA72A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F05CE">
              <w:rPr>
                <w:rFonts w:ascii="Arial" w:hAnsi="Arial" w:cs="Arial"/>
                <w:color w:val="333333"/>
                <w:sz w:val="20"/>
                <w:szCs w:val="20"/>
              </w:rPr>
              <w:t xml:space="preserve">Existing training programs </w:t>
            </w:r>
            <w:r w:rsidR="00090A70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7561" w:type="dxa"/>
            <w:tcBorders>
              <w:top w:val="single" w:sz="4" w:space="0" w:color="auto"/>
            </w:tcBorders>
          </w:tcPr>
          <w:p w14:paraId="3F45A36F" w14:textId="36F91318" w:rsidR="00744986" w:rsidRPr="00744986" w:rsidRDefault="00FA72AE" w:rsidP="0074498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07CEF">
              <w:rPr>
                <w:rFonts w:ascii="Arial" w:hAnsi="Arial" w:cs="Arial"/>
                <w:sz w:val="20"/>
                <w:szCs w:val="20"/>
                <w:lang w:val="en-AU"/>
              </w:rPr>
              <w:t>Existing infection and FN related education provided to all depar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t</w:t>
            </w:r>
            <w:r w:rsidRPr="00C07CEF">
              <w:rPr>
                <w:rFonts w:ascii="Arial" w:hAnsi="Arial" w:cs="Arial"/>
                <w:sz w:val="20"/>
                <w:szCs w:val="20"/>
                <w:lang w:val="en-AU"/>
              </w:rPr>
              <w:t xml:space="preserve">ments involved in care of patients with FN (esp. oncology/haematology and ED) </w:t>
            </w:r>
            <w:r w:rsidR="00090A70">
              <w:rPr>
                <w:rFonts w:ascii="Arial" w:hAnsi="Arial" w:cs="Arial"/>
                <w:sz w:val="20"/>
                <w:szCs w:val="20"/>
                <w:lang w:val="en-AU"/>
              </w:rPr>
              <w:t xml:space="preserve">are available to be updated with the </w:t>
            </w:r>
            <w:r w:rsidR="0098571C">
              <w:rPr>
                <w:rFonts w:ascii="Arial" w:hAnsi="Arial" w:cs="Arial"/>
                <w:sz w:val="20"/>
                <w:szCs w:val="20"/>
                <w:lang w:val="en-AU"/>
              </w:rPr>
              <w:t xml:space="preserve">low-risk </w:t>
            </w:r>
            <w:r w:rsidR="00090A70">
              <w:rPr>
                <w:rFonts w:ascii="Arial" w:hAnsi="Arial" w:cs="Arial"/>
                <w:sz w:val="20"/>
                <w:szCs w:val="20"/>
                <w:lang w:val="en-AU"/>
              </w:rPr>
              <w:t>program</w:t>
            </w:r>
            <w:r w:rsidR="0098571C">
              <w:rPr>
                <w:rFonts w:ascii="Arial" w:hAnsi="Arial" w:cs="Arial"/>
                <w:sz w:val="20"/>
                <w:szCs w:val="20"/>
                <w:lang w:val="en-AU"/>
              </w:rPr>
              <w:t xml:space="preserve"> recommendations</w:t>
            </w:r>
            <w:r w:rsidRPr="00C07CEF">
              <w:rPr>
                <w:rFonts w:ascii="Arial" w:hAnsi="Arial" w:cs="Arial"/>
                <w:sz w:val="20"/>
                <w:szCs w:val="20"/>
                <w:lang w:val="en-AU"/>
              </w:rPr>
              <w:t>.</w:t>
            </w:r>
            <w:r w:rsidR="0078155F">
              <w:rPr>
                <w:rFonts w:ascii="Arial" w:hAnsi="Arial" w:cs="Arial"/>
                <w:sz w:val="20"/>
                <w:szCs w:val="20"/>
                <w:lang w:val="en-A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D9BB93B" w14:textId="77777777" w:rsidR="00FA72AE" w:rsidRPr="006F05CE" w:rsidRDefault="00FA72AE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0A1DF975" w14:textId="77777777" w:rsidR="00FA72AE" w:rsidRPr="006F05CE" w:rsidRDefault="00FA72AE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3AF7BC12" w14:textId="77777777" w:rsidR="00FA72AE" w:rsidRPr="006F05CE" w:rsidRDefault="00FA72AE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4CF6CBB7" w14:textId="77777777" w:rsidR="00FA72AE" w:rsidRPr="006F05CE" w:rsidRDefault="00FA72AE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32F208C4" w14:textId="77777777" w:rsidR="00FA72AE" w:rsidRPr="006F05CE" w:rsidRDefault="00FA72AE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0A472684" w14:textId="77777777" w:rsidR="00FA72AE" w:rsidRPr="006F05CE" w:rsidRDefault="00FA72AE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669D4B3A" w14:textId="77777777" w:rsidR="00FA72AE" w:rsidRPr="006F05CE" w:rsidRDefault="00FA72AE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3B5BCF88" w14:textId="77777777" w:rsidR="00FA72AE" w:rsidRPr="006F05CE" w:rsidRDefault="00FA72AE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4C35579E" w14:textId="77777777" w:rsidR="00FA72AE" w:rsidRPr="006F05CE" w:rsidRDefault="00FA72AE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356F1F9E" w14:textId="77777777" w:rsidR="00FA72AE" w:rsidRPr="006F05CE" w:rsidRDefault="00FA72AE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031CB45D" w14:textId="77777777" w:rsidR="00FA72AE" w:rsidRPr="006F05CE" w:rsidRDefault="00FA72AE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F3FFD97" w14:textId="77777777" w:rsidR="00FA72AE" w:rsidRPr="006F05CE" w:rsidRDefault="00FA72AE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744986" w:rsidRPr="006F05CE" w14:paraId="3DB0EEBE" w14:textId="77777777" w:rsidTr="00912735">
        <w:trPr>
          <w:gridAfter w:val="1"/>
          <w:wAfter w:w="7364" w:type="dxa"/>
          <w:trHeight w:val="264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33197EB5" w14:textId="77777777" w:rsidR="00744986" w:rsidRDefault="00744986" w:rsidP="00FA72AE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741EAC1C" w14:textId="77777777" w:rsidR="00744986" w:rsidRPr="00A25C90" w:rsidRDefault="00744986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57BD9D84" w14:textId="77777777" w:rsidR="00744986" w:rsidRPr="006F05CE" w:rsidRDefault="00744986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1F3864" w:themeFill="accent1" w:themeFillShade="80"/>
          </w:tcPr>
          <w:p w14:paraId="2050A7CC" w14:textId="77777777" w:rsidR="00744986" w:rsidRPr="006F05CE" w:rsidRDefault="00744986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51420497" w14:textId="77777777" w:rsidR="00744986" w:rsidRPr="006F05CE" w:rsidRDefault="00744986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6CB6F9A2" w14:textId="77777777" w:rsidR="00744986" w:rsidRPr="006F05CE" w:rsidRDefault="00744986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4293A174" w14:textId="77777777" w:rsidR="00744986" w:rsidRPr="006F05CE" w:rsidRDefault="00744986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1F3864" w:themeFill="accent1" w:themeFillShade="80"/>
          </w:tcPr>
          <w:p w14:paraId="34A5C4AB" w14:textId="77777777" w:rsidR="00744986" w:rsidRPr="006F05CE" w:rsidRDefault="00744986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5676B2AE" w14:textId="77777777" w:rsidR="00744986" w:rsidRPr="006F05CE" w:rsidRDefault="00744986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22B19FE5" w14:textId="77777777" w:rsidR="00744986" w:rsidRPr="006F05CE" w:rsidRDefault="00744986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134FD023" w14:textId="77777777" w:rsidR="00744986" w:rsidRPr="006F05CE" w:rsidRDefault="00744986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1F3864" w:themeFill="accent1" w:themeFillShade="80"/>
          </w:tcPr>
          <w:p w14:paraId="77F08E2D" w14:textId="77777777" w:rsidR="00744986" w:rsidRPr="006F05CE" w:rsidRDefault="00744986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628B4EC7" w14:textId="77777777" w:rsidR="00744986" w:rsidRPr="006F05CE" w:rsidRDefault="00744986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155A2101" w14:textId="77777777" w:rsidR="00744986" w:rsidRPr="006F05CE" w:rsidRDefault="00744986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744986" w:rsidRPr="006F05CE" w14:paraId="68864F2D" w14:textId="77777777" w:rsidTr="00912735">
        <w:trPr>
          <w:gridAfter w:val="1"/>
          <w:wAfter w:w="7364" w:type="dxa"/>
          <w:trHeight w:val="264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42512485" w14:textId="77777777" w:rsidR="00744986" w:rsidRDefault="00744986" w:rsidP="00FA72AE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3DF2EC6A" w14:textId="77777777" w:rsidR="00744986" w:rsidRPr="00A25C90" w:rsidRDefault="00744986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1F3864" w:themeFill="accent1" w:themeFillShade="80"/>
          </w:tcPr>
          <w:p w14:paraId="6184B26D" w14:textId="2A7A4DA3" w:rsidR="00744986" w:rsidRPr="00912735" w:rsidRDefault="00744986" w:rsidP="00FA72AE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912735">
              <w:rPr>
                <w:rFonts w:ascii="Arial" w:hAnsi="Arial" w:cs="Arial"/>
                <w:b/>
                <w:sz w:val="20"/>
                <w:szCs w:val="20"/>
                <w:lang w:val="en-AU"/>
              </w:rPr>
              <w:t>2019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F3864" w:themeFill="accent1" w:themeFillShade="80"/>
          </w:tcPr>
          <w:p w14:paraId="562FC3B5" w14:textId="70AD9160" w:rsidR="00744986" w:rsidRPr="00744986" w:rsidRDefault="00744986" w:rsidP="00FA72AE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744986">
              <w:rPr>
                <w:rFonts w:ascii="Arial" w:hAnsi="Arial" w:cs="Arial"/>
                <w:b/>
                <w:sz w:val="20"/>
                <w:szCs w:val="20"/>
                <w:lang w:val="en-AU"/>
              </w:rPr>
              <w:t>2021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07C94AFC" w14:textId="4169C358" w:rsidR="00744986" w:rsidRPr="00744986" w:rsidRDefault="00744986" w:rsidP="00FA72AE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744986">
              <w:rPr>
                <w:rFonts w:ascii="Arial" w:hAnsi="Arial" w:cs="Arial"/>
                <w:b/>
                <w:sz w:val="20"/>
                <w:szCs w:val="20"/>
                <w:lang w:val="en-AU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504E57AC" w14:textId="77777777" w:rsidR="00744986" w:rsidRPr="006F05CE" w:rsidRDefault="00744986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744986" w:rsidRPr="006F05CE" w14:paraId="1F60E862" w14:textId="77777777" w:rsidTr="00912735">
        <w:trPr>
          <w:gridAfter w:val="1"/>
          <w:wAfter w:w="7364" w:type="dxa"/>
          <w:trHeight w:val="264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42983F" w14:textId="131C9F11" w:rsidR="00744986" w:rsidRPr="006F05CE" w:rsidRDefault="00744986" w:rsidP="0074498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6175" w14:textId="77777777" w:rsidR="00744986" w:rsidRPr="00A25C90" w:rsidRDefault="00744986" w:rsidP="0074498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C2A4AA" w14:textId="4C0F1AB4" w:rsidR="00744986" w:rsidRPr="006F05CE" w:rsidRDefault="00744986" w:rsidP="0074498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Q1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33DB76" w14:textId="7A8048D3" w:rsidR="00744986" w:rsidRPr="006F05CE" w:rsidRDefault="00744986" w:rsidP="0074498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Q2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76FF35" w14:textId="2676B3E6" w:rsidR="00744986" w:rsidRPr="006F05CE" w:rsidRDefault="00744986" w:rsidP="0074498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Q3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2956B6" w14:textId="32E0521A" w:rsidR="00744986" w:rsidRPr="006F05CE" w:rsidRDefault="00744986" w:rsidP="0074498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Q4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F088BD" w14:textId="62BA773A" w:rsidR="00744986" w:rsidRPr="006F05CE" w:rsidRDefault="00744986" w:rsidP="0074498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Q1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BAB35F" w14:textId="267CC65C" w:rsidR="00744986" w:rsidRPr="006F05CE" w:rsidRDefault="00744986" w:rsidP="0074498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Q2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800EF7" w14:textId="1BD28C8B" w:rsidR="00744986" w:rsidRPr="006F05CE" w:rsidRDefault="00744986" w:rsidP="0074498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Q3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CAF033" w14:textId="77667128" w:rsidR="00744986" w:rsidRPr="006F05CE" w:rsidRDefault="00744986" w:rsidP="0074498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Q4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6D9F88" w14:textId="3010025E" w:rsidR="00744986" w:rsidRPr="006F05CE" w:rsidRDefault="00744986" w:rsidP="0074498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Q1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8DF76E" w14:textId="7137AD48" w:rsidR="00744986" w:rsidRPr="006F05CE" w:rsidRDefault="00744986" w:rsidP="0074498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Q2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59F454" w14:textId="7FFF9AE3" w:rsidR="00744986" w:rsidRPr="006F05CE" w:rsidRDefault="00744986" w:rsidP="0074498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Q3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F0B4A" w14:textId="0BE600DC" w:rsidR="00744986" w:rsidRPr="006F05CE" w:rsidRDefault="00744986" w:rsidP="0074498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Q4</w:t>
            </w:r>
          </w:p>
        </w:tc>
      </w:tr>
      <w:tr w:rsidR="00912735" w:rsidRPr="006F05CE" w14:paraId="0CA8C922" w14:textId="77777777" w:rsidTr="00E10DBA">
        <w:trPr>
          <w:gridAfter w:val="1"/>
          <w:wAfter w:w="7364" w:type="dxa"/>
          <w:trHeight w:val="264"/>
        </w:trPr>
        <w:tc>
          <w:tcPr>
            <w:tcW w:w="150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289FC6A2" w14:textId="4302F4F0" w:rsidR="00912735" w:rsidRDefault="00912735" w:rsidP="00744986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74498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PEOPLE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1493FEF5" w14:textId="77777777" w:rsidR="00912735" w:rsidRDefault="00912735" w:rsidP="00744986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</w:tr>
      <w:tr w:rsidR="00FA72AE" w:rsidRPr="006F05CE" w14:paraId="78E722E0" w14:textId="77777777" w:rsidTr="00912735">
        <w:trPr>
          <w:gridAfter w:val="1"/>
          <w:wAfter w:w="7364" w:type="dxa"/>
          <w:trHeight w:val="626"/>
        </w:trPr>
        <w:tc>
          <w:tcPr>
            <w:tcW w:w="2094" w:type="dxa"/>
            <w:tcBorders>
              <w:top w:val="single" w:sz="4" w:space="0" w:color="auto"/>
            </w:tcBorders>
          </w:tcPr>
          <w:p w14:paraId="1B26E1D7" w14:textId="41EF6DC1" w:rsidR="00FA72AE" w:rsidRPr="006F05CE" w:rsidRDefault="00090A70" w:rsidP="00FA72A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Leadership team</w:t>
            </w:r>
          </w:p>
        </w:tc>
        <w:tc>
          <w:tcPr>
            <w:tcW w:w="7561" w:type="dxa"/>
            <w:tcBorders>
              <w:top w:val="single" w:sz="4" w:space="0" w:color="auto"/>
            </w:tcBorders>
          </w:tcPr>
          <w:p w14:paraId="3DB2B1B9" w14:textId="69BE595C" w:rsidR="00FA72AE" w:rsidRPr="00C07CEF" w:rsidRDefault="00EE6C89" w:rsidP="00FA72A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54D57">
              <w:rPr>
                <w:rFonts w:ascii="Arial" w:hAnsi="Arial" w:cs="Arial"/>
                <w:sz w:val="20"/>
                <w:szCs w:val="20"/>
                <w:lang w:val="en-AU"/>
              </w:rPr>
              <w:t>A steering group including medical and nursing representatives from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oncology, ID, HITH,</w:t>
            </w:r>
            <w:r w:rsidRPr="00254D57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the </w:t>
            </w:r>
            <w:r w:rsidRPr="00254D57">
              <w:rPr>
                <w:rFonts w:ascii="Arial" w:hAnsi="Arial" w:cs="Arial"/>
                <w:sz w:val="20"/>
                <w:szCs w:val="20"/>
                <w:lang w:val="en-AU"/>
              </w:rPr>
              <w:t>ED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, bed management,</w:t>
            </w:r>
            <w:r w:rsidRPr="00254D57">
              <w:rPr>
                <w:rFonts w:ascii="Arial" w:hAnsi="Arial" w:cs="Arial"/>
                <w:sz w:val="20"/>
                <w:szCs w:val="20"/>
                <w:lang w:val="en-AU"/>
              </w:rPr>
              <w:t xml:space="preserve"> pharmacy and quality improvement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has been</w:t>
            </w:r>
            <w:r w:rsidRPr="00254D57">
              <w:rPr>
                <w:rFonts w:ascii="Arial" w:hAnsi="Arial" w:cs="Arial"/>
                <w:sz w:val="20"/>
                <w:szCs w:val="20"/>
                <w:lang w:val="en-AU"/>
              </w:rPr>
              <w:t xml:space="preserve"> formalised</w:t>
            </w:r>
            <w:r w:rsidR="00C06BB8">
              <w:rPr>
                <w:rFonts w:ascii="Arial" w:hAnsi="Arial" w:cs="Arial"/>
                <w:sz w:val="20"/>
                <w:szCs w:val="20"/>
                <w:lang w:val="en-AU"/>
              </w:rPr>
              <w:t xml:space="preserve"> and are engaged throughout all phases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B58E987" w14:textId="77777777" w:rsidR="00FA72AE" w:rsidRPr="006F05CE" w:rsidRDefault="00FA72AE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6D039DA2" w14:textId="77777777" w:rsidR="00FA72AE" w:rsidRPr="006F05CE" w:rsidRDefault="00FA72AE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3EC33588" w14:textId="77777777" w:rsidR="00FA72AE" w:rsidRPr="006F05CE" w:rsidRDefault="00FA72AE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61E9689D" w14:textId="77777777" w:rsidR="00FA72AE" w:rsidRPr="006F05CE" w:rsidRDefault="00FA72AE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525F3071" w14:textId="77777777" w:rsidR="00FA72AE" w:rsidRPr="006F05CE" w:rsidRDefault="00FA72AE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28D23DFD" w14:textId="77777777" w:rsidR="00FA72AE" w:rsidRPr="006F05CE" w:rsidRDefault="00FA72AE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24A0CBB5" w14:textId="77777777" w:rsidR="00FA72AE" w:rsidRPr="006F05CE" w:rsidRDefault="00FA72AE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47B3AC74" w14:textId="77777777" w:rsidR="00FA72AE" w:rsidRPr="006F05CE" w:rsidRDefault="00FA72AE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52EBC5D7" w14:textId="77777777" w:rsidR="00FA72AE" w:rsidRPr="006F05CE" w:rsidRDefault="00FA72AE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3A11B1EE" w14:textId="77777777" w:rsidR="00FA72AE" w:rsidRPr="006F05CE" w:rsidRDefault="00FA72AE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53E3D5B8" w14:textId="77777777" w:rsidR="00FA72AE" w:rsidRPr="006F05CE" w:rsidRDefault="00FA72AE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68AE103" w14:textId="77777777" w:rsidR="00FA72AE" w:rsidRPr="006F05CE" w:rsidRDefault="00FA72AE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476D6F" w:rsidRPr="006F05CE" w14:paraId="6655DE3D" w14:textId="37F760F4" w:rsidTr="00912735">
        <w:trPr>
          <w:gridAfter w:val="1"/>
          <w:wAfter w:w="7364" w:type="dxa"/>
          <w:trHeight w:val="626"/>
        </w:trPr>
        <w:tc>
          <w:tcPr>
            <w:tcW w:w="2094" w:type="dxa"/>
            <w:vMerge w:val="restart"/>
            <w:tcBorders>
              <w:top w:val="single" w:sz="4" w:space="0" w:color="auto"/>
            </w:tcBorders>
          </w:tcPr>
          <w:p w14:paraId="7D3E2F43" w14:textId="431A9117" w:rsidR="00476D6F" w:rsidRPr="006F05CE" w:rsidRDefault="00476D6F" w:rsidP="00FA72A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Key stakeholders</w:t>
            </w:r>
          </w:p>
        </w:tc>
        <w:tc>
          <w:tcPr>
            <w:tcW w:w="7561" w:type="dxa"/>
            <w:tcBorders>
              <w:top w:val="single" w:sz="4" w:space="0" w:color="auto"/>
            </w:tcBorders>
          </w:tcPr>
          <w:p w14:paraId="7A4B02FC" w14:textId="03CEEEA7" w:rsidR="00476D6F" w:rsidRPr="006C7718" w:rsidRDefault="00476D6F" w:rsidP="00FA72A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Stakeholders (including junior and senior medical and nursing staff) from oncology, ID, HITH, </w:t>
            </w:r>
            <w:r w:rsidRPr="00254D57">
              <w:rPr>
                <w:rFonts w:ascii="Arial" w:hAnsi="Arial" w:cs="Arial"/>
                <w:sz w:val="20"/>
                <w:szCs w:val="20"/>
                <w:lang w:val="en-AU"/>
              </w:rPr>
              <w:t>ED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and pharmacy are aware and supportive of the program.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ABE6C84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4C214FDA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795C89FD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56524A41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3710F175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05CA0EEF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68370731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4B0896EF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72BE98FA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5E939EFF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4B881025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6CDA355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476D6F" w:rsidRPr="006F05CE" w14:paraId="3BE2E941" w14:textId="77777777" w:rsidTr="00912735">
        <w:trPr>
          <w:gridAfter w:val="1"/>
          <w:wAfter w:w="7364" w:type="dxa"/>
          <w:trHeight w:val="626"/>
        </w:trPr>
        <w:tc>
          <w:tcPr>
            <w:tcW w:w="2094" w:type="dxa"/>
            <w:vMerge/>
          </w:tcPr>
          <w:p w14:paraId="74BBF8FB" w14:textId="77777777" w:rsidR="00476D6F" w:rsidRDefault="00476D6F" w:rsidP="00FA72A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561" w:type="dxa"/>
            <w:tcBorders>
              <w:top w:val="single" w:sz="4" w:space="0" w:color="auto"/>
            </w:tcBorders>
          </w:tcPr>
          <w:p w14:paraId="6A4BB6E2" w14:textId="2F86C055" w:rsidR="00476D6F" w:rsidRDefault="00476D6F" w:rsidP="00FA72A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Consumer representative/s ha</w:t>
            </w:r>
            <w:r w:rsidR="00845F7E">
              <w:rPr>
                <w:rFonts w:ascii="Arial" w:hAnsi="Arial" w:cs="Arial"/>
                <w:sz w:val="20"/>
                <w:szCs w:val="20"/>
                <w:lang w:val="en-AU"/>
              </w:rPr>
              <w:t>ve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been identified and is engaged with the program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5B3E61F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1190344B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6432CCA1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0BE11CD9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561C7AEF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1DA51551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612F8CE1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783C8660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44FC0DA1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14A3C3F7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69A1927A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67D318D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476D6F" w:rsidRPr="006F05CE" w14:paraId="271AEF61" w14:textId="031D370D" w:rsidTr="00912735">
        <w:trPr>
          <w:gridAfter w:val="1"/>
          <w:wAfter w:w="7364" w:type="dxa"/>
          <w:trHeight w:val="842"/>
        </w:trPr>
        <w:tc>
          <w:tcPr>
            <w:tcW w:w="2094" w:type="dxa"/>
            <w:vMerge w:val="restart"/>
          </w:tcPr>
          <w:p w14:paraId="4562C9D6" w14:textId="77777777" w:rsidR="00476D6F" w:rsidRPr="006F05CE" w:rsidRDefault="00476D6F" w:rsidP="00FA72A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Champions of change</w:t>
            </w:r>
          </w:p>
          <w:p w14:paraId="073BC5A5" w14:textId="79E5FE24" w:rsidR="00476D6F" w:rsidRPr="006F05CE" w:rsidRDefault="00476D6F" w:rsidP="00FA72A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F05CE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7561" w:type="dxa"/>
          </w:tcPr>
          <w:p w14:paraId="513C09C8" w14:textId="6808B144" w:rsidR="00476D6F" w:rsidRPr="002C27B4" w:rsidRDefault="00476D6F" w:rsidP="00090A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A senior nurse specialist (ideally with oncology or HITH background) has been identified that will assist in driving implementation, evaluation and sustainability of the program. </w:t>
            </w:r>
          </w:p>
        </w:tc>
        <w:tc>
          <w:tcPr>
            <w:tcW w:w="0" w:type="auto"/>
          </w:tcPr>
          <w:p w14:paraId="07501AA5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0984FD48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597846FA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0A9381F6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051D9251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58D852D1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1E26457C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6029EC51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2E54FD3D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30009ED9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5C690856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</w:tcPr>
          <w:p w14:paraId="685DFCAA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476D6F" w:rsidRPr="006F05CE" w14:paraId="101F0A23" w14:textId="2998A790" w:rsidTr="00912735">
        <w:trPr>
          <w:gridAfter w:val="1"/>
          <w:wAfter w:w="7364" w:type="dxa"/>
          <w:trHeight w:val="626"/>
        </w:trPr>
        <w:tc>
          <w:tcPr>
            <w:tcW w:w="2094" w:type="dxa"/>
            <w:vMerge/>
          </w:tcPr>
          <w:p w14:paraId="4F5E21FF" w14:textId="260FC0C3" w:rsidR="00476D6F" w:rsidRPr="006F05CE" w:rsidRDefault="00476D6F" w:rsidP="00FA72A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561" w:type="dxa"/>
          </w:tcPr>
          <w:p w14:paraId="7FEEEBE0" w14:textId="6A36C3D2" w:rsidR="00476D6F" w:rsidRPr="00476D6F" w:rsidRDefault="00476D6F" w:rsidP="00476D6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A medical lead has been identified that will oversee implementation, evaluation and sustainability of the program and will supervise the senior nurse specialist.</w:t>
            </w:r>
          </w:p>
        </w:tc>
        <w:tc>
          <w:tcPr>
            <w:tcW w:w="0" w:type="auto"/>
          </w:tcPr>
          <w:p w14:paraId="0BDBF3A7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5B329DBA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3D5DFD8B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4C4DD59D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6A4B4BF7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E9DDEFF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03648D42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1551213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155EFDE9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3BE3413D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59FEA3F5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</w:tcPr>
          <w:p w14:paraId="054393B3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476D6F" w:rsidRPr="006F05CE" w14:paraId="2AFC8D08" w14:textId="0798E425" w:rsidTr="00912735">
        <w:trPr>
          <w:gridAfter w:val="1"/>
          <w:wAfter w:w="7364" w:type="dxa"/>
          <w:trHeight w:val="268"/>
        </w:trPr>
        <w:tc>
          <w:tcPr>
            <w:tcW w:w="2094" w:type="dxa"/>
            <w:vMerge/>
          </w:tcPr>
          <w:p w14:paraId="11D4AA99" w14:textId="0C353102" w:rsidR="00476D6F" w:rsidRPr="006F05CE" w:rsidRDefault="00476D6F" w:rsidP="00FA72A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561" w:type="dxa"/>
          </w:tcPr>
          <w:p w14:paraId="13C999A9" w14:textId="2CEC9C4E" w:rsidR="00476D6F" w:rsidRDefault="00476D6F" w:rsidP="00FA72A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Additional ward and department champions</w:t>
            </w:r>
            <w:r w:rsidRPr="002C27B4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are allocated to a role (rather than a specific person) to avoid failure of the program in the setting of staff absences </w:t>
            </w:r>
          </w:p>
          <w:p w14:paraId="18F1C1A8" w14:textId="649E1302" w:rsidR="00476D6F" w:rsidRPr="00476D6F" w:rsidRDefault="00476D6F" w:rsidP="00476D6F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</w:tcPr>
          <w:p w14:paraId="0D9F1530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3F21A8E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4CC70404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26AC6F70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692DDDCA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55E5E608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6763D151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9F9D23E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B9C3A7D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7E4661E8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2070E5FD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</w:tcPr>
          <w:p w14:paraId="0ACCAA54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FA72AE" w:rsidRPr="006F05CE" w14:paraId="6A4EB4DD" w14:textId="1BA5590D" w:rsidTr="00912735">
        <w:trPr>
          <w:gridAfter w:val="1"/>
          <w:wAfter w:w="7364" w:type="dxa"/>
          <w:trHeight w:val="255"/>
        </w:trPr>
        <w:tc>
          <w:tcPr>
            <w:tcW w:w="2094" w:type="dxa"/>
          </w:tcPr>
          <w:p w14:paraId="35BB4765" w14:textId="140AA6C3" w:rsidR="00FA72AE" w:rsidRPr="006F05CE" w:rsidRDefault="00FA72AE" w:rsidP="00FA72A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561" w:type="dxa"/>
          </w:tcPr>
          <w:p w14:paraId="5D3274A7" w14:textId="10695522" w:rsidR="00FA72AE" w:rsidRDefault="00912735" w:rsidP="00FA72A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Other as required</w:t>
            </w:r>
          </w:p>
          <w:p w14:paraId="6CAEBF36" w14:textId="3E36F3C4" w:rsidR="00912735" w:rsidRPr="00254D57" w:rsidRDefault="00912735" w:rsidP="0091273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</w:tcPr>
          <w:p w14:paraId="06EA6C70" w14:textId="77777777" w:rsidR="00FA72AE" w:rsidRPr="006F05CE" w:rsidRDefault="00FA72AE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030B69E" w14:textId="77777777" w:rsidR="00FA72AE" w:rsidRPr="006F05CE" w:rsidRDefault="00FA72AE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20DE32F0" w14:textId="77777777" w:rsidR="00FA72AE" w:rsidRPr="006F05CE" w:rsidRDefault="00FA72AE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55F6BCD8" w14:textId="77777777" w:rsidR="00FA72AE" w:rsidRPr="006F05CE" w:rsidRDefault="00FA72AE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4E1203E" w14:textId="77777777" w:rsidR="00FA72AE" w:rsidRPr="006F05CE" w:rsidRDefault="00FA72AE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CB4538A" w14:textId="77777777" w:rsidR="00FA72AE" w:rsidRPr="006F05CE" w:rsidRDefault="00FA72AE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79FFBADC" w14:textId="77777777" w:rsidR="00FA72AE" w:rsidRPr="006F05CE" w:rsidRDefault="00FA72AE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5DED201F" w14:textId="77777777" w:rsidR="00FA72AE" w:rsidRPr="006F05CE" w:rsidRDefault="00FA72AE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117684EC" w14:textId="77777777" w:rsidR="00FA72AE" w:rsidRPr="006F05CE" w:rsidRDefault="00FA72AE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0A1DBE7E" w14:textId="77777777" w:rsidR="00FA72AE" w:rsidRPr="006F05CE" w:rsidRDefault="00FA72AE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3152A628" w14:textId="77777777" w:rsidR="00FA72AE" w:rsidRPr="006F05CE" w:rsidRDefault="00FA72AE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</w:tcPr>
          <w:p w14:paraId="208E0860" w14:textId="77777777" w:rsidR="00FA72AE" w:rsidRPr="006F05CE" w:rsidRDefault="00FA72AE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476D6F" w:rsidRPr="006F05CE" w14:paraId="356257D1" w14:textId="77777777" w:rsidTr="00912735">
        <w:trPr>
          <w:gridAfter w:val="1"/>
          <w:wAfter w:w="7364" w:type="dxa"/>
          <w:trHeight w:val="255"/>
        </w:trPr>
        <w:tc>
          <w:tcPr>
            <w:tcW w:w="9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4A66B811" w14:textId="08B356D1" w:rsidR="00476D6F" w:rsidRPr="00476D6F" w:rsidRDefault="00476D6F" w:rsidP="00476D6F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76D6F">
              <w:rPr>
                <w:rFonts w:ascii="Arial" w:hAnsi="Arial" w:cs="Arial"/>
                <w:b/>
                <w:sz w:val="20"/>
                <w:szCs w:val="20"/>
                <w:lang w:val="en-AU"/>
              </w:rPr>
              <w:t>POLICY AND PROCESS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61B02EE1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3F034B40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7C6AA419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222648B9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31C09B94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451D4359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0EAD8B38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32C2ADAC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718D8084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5C882A68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6ECFCBB1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34C6456E" w14:textId="77777777" w:rsidR="00476D6F" w:rsidRPr="006F05CE" w:rsidRDefault="00476D6F" w:rsidP="00FA72A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67391" w:rsidRPr="006F05CE" w14:paraId="2AEB3C13" w14:textId="77777777" w:rsidTr="00912735">
        <w:trPr>
          <w:gridAfter w:val="1"/>
          <w:wAfter w:w="7364" w:type="dxa"/>
          <w:trHeight w:val="255"/>
        </w:trPr>
        <w:tc>
          <w:tcPr>
            <w:tcW w:w="2094" w:type="dxa"/>
            <w:vMerge w:val="restart"/>
            <w:tcBorders>
              <w:top w:val="single" w:sz="4" w:space="0" w:color="auto"/>
            </w:tcBorders>
          </w:tcPr>
          <w:p w14:paraId="51DEAEC1" w14:textId="34FC65C1" w:rsidR="00A67391" w:rsidRDefault="00A67391" w:rsidP="00EE6C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</w:t>
            </w:r>
            <w:r w:rsidRPr="006F05CE">
              <w:rPr>
                <w:rFonts w:ascii="Arial" w:hAnsi="Arial" w:cs="Arial"/>
                <w:color w:val="333333"/>
                <w:sz w:val="20"/>
                <w:szCs w:val="20"/>
              </w:rPr>
              <w:t xml:space="preserve">olicies and procedures </w:t>
            </w:r>
          </w:p>
        </w:tc>
        <w:tc>
          <w:tcPr>
            <w:tcW w:w="7561" w:type="dxa"/>
            <w:tcBorders>
              <w:top w:val="single" w:sz="4" w:space="0" w:color="auto"/>
            </w:tcBorders>
          </w:tcPr>
          <w:p w14:paraId="49B19AF2" w14:textId="77777777" w:rsidR="00A67391" w:rsidRDefault="00A67391" w:rsidP="0060472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The low-risk FN policy and procedure has been adapted for local use</w:t>
            </w:r>
          </w:p>
          <w:p w14:paraId="66E312BA" w14:textId="2DCDC2A9" w:rsidR="00A67391" w:rsidRPr="00254D57" w:rsidRDefault="00A67391" w:rsidP="00A6739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0526A00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64B94236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322E0502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2A82ED14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7BCDD973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231C1208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06EC7D20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3988DB4A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5251753B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1A0B3FFD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3CA2816F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14C65D4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67391" w:rsidRPr="006F05CE" w14:paraId="34C4E551" w14:textId="77777777" w:rsidTr="00912735">
        <w:trPr>
          <w:gridAfter w:val="1"/>
          <w:wAfter w:w="7364" w:type="dxa"/>
          <w:trHeight w:val="255"/>
        </w:trPr>
        <w:tc>
          <w:tcPr>
            <w:tcW w:w="2094" w:type="dxa"/>
            <w:vMerge/>
          </w:tcPr>
          <w:p w14:paraId="302CAB25" w14:textId="4214DA02" w:rsidR="00A67391" w:rsidRPr="006F05CE" w:rsidRDefault="00A67391" w:rsidP="00EE6C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561" w:type="dxa"/>
            <w:tcBorders>
              <w:top w:val="single" w:sz="4" w:space="0" w:color="auto"/>
            </w:tcBorders>
          </w:tcPr>
          <w:p w14:paraId="3CAE706D" w14:textId="2B1D022B" w:rsidR="00A67391" w:rsidRPr="00604725" w:rsidRDefault="00A67391" w:rsidP="0060472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54D57">
              <w:rPr>
                <w:rFonts w:ascii="Arial" w:hAnsi="Arial" w:cs="Arial"/>
                <w:sz w:val="20"/>
                <w:szCs w:val="20"/>
                <w:lang w:val="en-AU"/>
              </w:rPr>
              <w:t xml:space="preserve">Existing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FN</w:t>
            </w:r>
            <w:r w:rsidRPr="00254D57">
              <w:rPr>
                <w:rFonts w:ascii="Arial" w:hAnsi="Arial" w:cs="Arial"/>
                <w:sz w:val="20"/>
                <w:szCs w:val="20"/>
                <w:lang w:val="en-AU"/>
              </w:rPr>
              <w:t xml:space="preserve"> pathways and/or guidelines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are</w:t>
            </w:r>
            <w:r w:rsidRPr="00254D57">
              <w:rPr>
                <w:rFonts w:ascii="Arial" w:hAnsi="Arial" w:cs="Arial"/>
                <w:sz w:val="20"/>
                <w:szCs w:val="20"/>
                <w:lang w:val="en-AU"/>
              </w:rPr>
              <w:t xml:space="preserve"> updated to reflect the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new </w:t>
            </w:r>
            <w:r w:rsidRPr="00254D57">
              <w:rPr>
                <w:rFonts w:ascii="Arial" w:hAnsi="Arial" w:cs="Arial"/>
                <w:sz w:val="20"/>
                <w:szCs w:val="20"/>
                <w:lang w:val="en-AU"/>
              </w:rPr>
              <w:t xml:space="preserve">low-risk program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B1BDD9B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47113091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7980F96C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63EDA0C3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2E3D54D9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01ECD3EA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758A6BA1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5A500576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4AEE6818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371C2D99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4F0E07FE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8558B10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67391" w:rsidRPr="006F05CE" w14:paraId="43258436" w14:textId="77777777" w:rsidTr="00912735">
        <w:trPr>
          <w:gridAfter w:val="1"/>
          <w:wAfter w:w="7364" w:type="dxa"/>
          <w:trHeight w:val="255"/>
        </w:trPr>
        <w:tc>
          <w:tcPr>
            <w:tcW w:w="2094" w:type="dxa"/>
            <w:vMerge/>
          </w:tcPr>
          <w:p w14:paraId="75A60B63" w14:textId="77777777" w:rsidR="00A67391" w:rsidRDefault="00A67391" w:rsidP="00EE6C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561" w:type="dxa"/>
            <w:tcBorders>
              <w:top w:val="single" w:sz="4" w:space="0" w:color="auto"/>
            </w:tcBorders>
          </w:tcPr>
          <w:p w14:paraId="7E0FCE92" w14:textId="6F17FCAA" w:rsidR="00A67391" w:rsidRPr="00604725" w:rsidRDefault="00A67391" w:rsidP="0060472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The pathway and/or guideline includes clear recommendations for HITH eligibility (irrespective of risk score), antibiotic options, daily follow up, discharge and readmission criteria.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F74AFC0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7A872433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2D84B55C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572E5593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2795C95D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385AA9E9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0935212C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56463A13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5F2EC15E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1FBD2484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362EAEF9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7FB6A30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67391" w:rsidRPr="006F05CE" w14:paraId="77551E37" w14:textId="77777777" w:rsidTr="00912735">
        <w:trPr>
          <w:gridAfter w:val="1"/>
          <w:wAfter w:w="7364" w:type="dxa"/>
          <w:trHeight w:val="255"/>
        </w:trPr>
        <w:tc>
          <w:tcPr>
            <w:tcW w:w="2094" w:type="dxa"/>
            <w:vMerge/>
          </w:tcPr>
          <w:p w14:paraId="1E489005" w14:textId="77777777" w:rsidR="00A67391" w:rsidRDefault="00A67391" w:rsidP="00EE6C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561" w:type="dxa"/>
            <w:tcBorders>
              <w:top w:val="single" w:sz="4" w:space="0" w:color="auto"/>
            </w:tcBorders>
          </w:tcPr>
          <w:p w14:paraId="60C9CD68" w14:textId="40761203" w:rsidR="00A67391" w:rsidRDefault="00A67391" w:rsidP="0060472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Pathway/s for readmission to hospital (or transfer from HITH to inpatient ward) are clearly documented and all key stakeholders aware. Consideration is also given to after hours.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8D9F476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1C841901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12BFEF71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68517EBE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19781DCF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301C5F6C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4B85882D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5CC60D4C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34F90C7A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5160856D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7EEB9005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E00FF76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67391" w:rsidRPr="006F05CE" w14:paraId="14202E26" w14:textId="77777777" w:rsidTr="00912735">
        <w:trPr>
          <w:gridAfter w:val="1"/>
          <w:wAfter w:w="7364" w:type="dxa"/>
          <w:trHeight w:val="255"/>
        </w:trPr>
        <w:tc>
          <w:tcPr>
            <w:tcW w:w="2094" w:type="dxa"/>
            <w:vMerge/>
          </w:tcPr>
          <w:p w14:paraId="6DAA9E32" w14:textId="77777777" w:rsidR="00A67391" w:rsidRDefault="00A67391" w:rsidP="00EE6C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561" w:type="dxa"/>
            <w:tcBorders>
              <w:top w:val="single" w:sz="4" w:space="0" w:color="auto"/>
            </w:tcBorders>
          </w:tcPr>
          <w:p w14:paraId="77ECC32D" w14:textId="77777777" w:rsidR="00A67391" w:rsidRDefault="00A67391" w:rsidP="0060472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The changes are endorsed by the steering group and key stakeholders</w:t>
            </w:r>
          </w:p>
          <w:p w14:paraId="4583D3E2" w14:textId="077A3FC3" w:rsidR="0098571C" w:rsidRPr="00254D57" w:rsidRDefault="0098571C" w:rsidP="0098571C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D645858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3D9E209B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76559EDD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4DBC8C34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555B93E9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35463680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61A592B5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27FA0B2A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3E8B02D4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75F85E2C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5441B20C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7585E22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604725" w:rsidRPr="006F05CE" w14:paraId="587E797B" w14:textId="77777777" w:rsidTr="00912735">
        <w:trPr>
          <w:gridAfter w:val="1"/>
          <w:wAfter w:w="7364" w:type="dxa"/>
          <w:trHeight w:val="255"/>
        </w:trPr>
        <w:tc>
          <w:tcPr>
            <w:tcW w:w="2094" w:type="dxa"/>
            <w:vMerge w:val="restart"/>
            <w:tcBorders>
              <w:top w:val="single" w:sz="4" w:space="0" w:color="auto"/>
            </w:tcBorders>
          </w:tcPr>
          <w:p w14:paraId="0860501C" w14:textId="30205A07" w:rsidR="00604725" w:rsidRPr="006F05CE" w:rsidRDefault="00604725" w:rsidP="00EE6C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Access and r</w:t>
            </w:r>
            <w:r w:rsidRPr="006F05CE">
              <w:rPr>
                <w:rFonts w:ascii="Arial" w:hAnsi="Arial" w:cs="Arial"/>
                <w:color w:val="333333"/>
                <w:sz w:val="20"/>
                <w:szCs w:val="20"/>
              </w:rPr>
              <w:t xml:space="preserve">esources </w:t>
            </w:r>
          </w:p>
        </w:tc>
        <w:tc>
          <w:tcPr>
            <w:tcW w:w="7561" w:type="dxa"/>
            <w:tcBorders>
              <w:top w:val="single" w:sz="4" w:space="0" w:color="auto"/>
            </w:tcBorders>
          </w:tcPr>
          <w:p w14:paraId="71EDECF4" w14:textId="41F7ABEE" w:rsidR="00604725" w:rsidRPr="00604725" w:rsidRDefault="00604725" w:rsidP="0060472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C27B4">
              <w:rPr>
                <w:rFonts w:ascii="Arial" w:hAnsi="Arial" w:cs="Arial"/>
                <w:sz w:val="20"/>
                <w:szCs w:val="20"/>
                <w:lang w:val="en-AU"/>
              </w:rPr>
              <w:t xml:space="preserve">For programs utilising HITH resources, consideration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has been</w:t>
            </w:r>
            <w:r w:rsidRPr="002C27B4">
              <w:rPr>
                <w:rFonts w:ascii="Arial" w:hAnsi="Arial" w:cs="Arial"/>
                <w:sz w:val="20"/>
                <w:szCs w:val="20"/>
                <w:lang w:val="en-AU"/>
              </w:rPr>
              <w:t xml:space="preserve"> given to HITH access at short notice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(&lt;1 day) </w:t>
            </w:r>
            <w:r w:rsidRPr="002C27B4">
              <w:rPr>
                <w:rFonts w:ascii="Arial" w:hAnsi="Arial" w:cs="Arial"/>
                <w:sz w:val="20"/>
                <w:szCs w:val="20"/>
                <w:lang w:val="en-AU"/>
              </w:rPr>
              <w:t>and geographical catchment.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FA841FA" w14:textId="77777777" w:rsidR="00604725" w:rsidRPr="006F05CE" w:rsidRDefault="00604725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04F7FF0C" w14:textId="77777777" w:rsidR="00604725" w:rsidRPr="006F05CE" w:rsidRDefault="00604725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39002010" w14:textId="77777777" w:rsidR="00604725" w:rsidRPr="006F05CE" w:rsidRDefault="00604725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54DAE233" w14:textId="77777777" w:rsidR="00604725" w:rsidRPr="006F05CE" w:rsidRDefault="00604725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6C2496F1" w14:textId="77777777" w:rsidR="00604725" w:rsidRPr="006F05CE" w:rsidRDefault="00604725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52BF8247" w14:textId="77777777" w:rsidR="00604725" w:rsidRPr="006F05CE" w:rsidRDefault="00604725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17F5B8D5" w14:textId="77777777" w:rsidR="00604725" w:rsidRPr="006F05CE" w:rsidRDefault="00604725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48C09174" w14:textId="77777777" w:rsidR="00604725" w:rsidRPr="006F05CE" w:rsidRDefault="00604725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1E98F352" w14:textId="77777777" w:rsidR="00604725" w:rsidRPr="006F05CE" w:rsidRDefault="00604725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6CBB6502" w14:textId="77777777" w:rsidR="00604725" w:rsidRPr="006F05CE" w:rsidRDefault="00604725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6C1EDDDB" w14:textId="77777777" w:rsidR="00604725" w:rsidRPr="006F05CE" w:rsidRDefault="00604725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7321C8E" w14:textId="77777777" w:rsidR="00604725" w:rsidRPr="006F05CE" w:rsidRDefault="00604725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604725" w:rsidRPr="006F05CE" w14:paraId="191CCE6B" w14:textId="77777777" w:rsidTr="00912735">
        <w:trPr>
          <w:gridAfter w:val="1"/>
          <w:wAfter w:w="7364" w:type="dxa"/>
          <w:trHeight w:val="255"/>
        </w:trPr>
        <w:tc>
          <w:tcPr>
            <w:tcW w:w="2094" w:type="dxa"/>
            <w:vMerge/>
          </w:tcPr>
          <w:p w14:paraId="5D206013" w14:textId="77777777" w:rsidR="00604725" w:rsidRDefault="00604725" w:rsidP="00EE6C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561" w:type="dxa"/>
            <w:tcBorders>
              <w:top w:val="single" w:sz="4" w:space="0" w:color="auto"/>
            </w:tcBorders>
          </w:tcPr>
          <w:p w14:paraId="3E12ABEB" w14:textId="4D6F8303" w:rsidR="00604725" w:rsidRPr="002C27B4" w:rsidRDefault="00604725" w:rsidP="00EE6C8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For patients managed at home on IV antibiotics: bolus or infusion antibiotics are available for administration on the same day as discharge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D5A293D" w14:textId="77777777" w:rsidR="00604725" w:rsidRPr="006F05CE" w:rsidRDefault="00604725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36ED0551" w14:textId="77777777" w:rsidR="00604725" w:rsidRPr="006F05CE" w:rsidRDefault="00604725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3DF1CD84" w14:textId="77777777" w:rsidR="00604725" w:rsidRPr="006F05CE" w:rsidRDefault="00604725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006619AC" w14:textId="77777777" w:rsidR="00604725" w:rsidRPr="006F05CE" w:rsidRDefault="00604725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67F3915B" w14:textId="77777777" w:rsidR="00604725" w:rsidRPr="006F05CE" w:rsidRDefault="00604725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061C40E8" w14:textId="77777777" w:rsidR="00604725" w:rsidRPr="006F05CE" w:rsidRDefault="00604725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04F2B4EA" w14:textId="77777777" w:rsidR="00604725" w:rsidRPr="006F05CE" w:rsidRDefault="00604725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6E13240F" w14:textId="77777777" w:rsidR="00604725" w:rsidRPr="006F05CE" w:rsidRDefault="00604725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6F5B5659" w14:textId="77777777" w:rsidR="00604725" w:rsidRPr="006F05CE" w:rsidRDefault="00604725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1E0C7AC3" w14:textId="77777777" w:rsidR="00604725" w:rsidRPr="006F05CE" w:rsidRDefault="00604725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5FCE4A01" w14:textId="77777777" w:rsidR="00604725" w:rsidRPr="006F05CE" w:rsidRDefault="00604725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7F9E6ED" w14:textId="77777777" w:rsidR="00604725" w:rsidRPr="006F05CE" w:rsidRDefault="00604725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67391" w:rsidRPr="006F05CE" w14:paraId="5E025397" w14:textId="77777777" w:rsidTr="00912735">
        <w:trPr>
          <w:gridAfter w:val="1"/>
          <w:wAfter w:w="7364" w:type="dxa"/>
          <w:trHeight w:val="255"/>
        </w:trPr>
        <w:tc>
          <w:tcPr>
            <w:tcW w:w="2094" w:type="dxa"/>
            <w:vMerge w:val="restart"/>
            <w:tcBorders>
              <w:top w:val="single" w:sz="4" w:space="0" w:color="auto"/>
            </w:tcBorders>
          </w:tcPr>
          <w:p w14:paraId="02F8F27A" w14:textId="6990538E" w:rsidR="00A67391" w:rsidRPr="006F05CE" w:rsidRDefault="00A67391" w:rsidP="00EE6C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Staff education</w:t>
            </w:r>
          </w:p>
        </w:tc>
        <w:tc>
          <w:tcPr>
            <w:tcW w:w="7561" w:type="dxa"/>
            <w:tcBorders>
              <w:top w:val="single" w:sz="4" w:space="0" w:color="auto"/>
            </w:tcBorders>
          </w:tcPr>
          <w:p w14:paraId="237AF0F6" w14:textId="009D01E3" w:rsidR="00A67391" w:rsidRDefault="00A67391" w:rsidP="00EE6C8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The change champions have received appropriate education and are aware of all aspects of the program including implementation, evaluation and sustainability phases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E7AE184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0B2A4EC3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711C3F17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63AD54A8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0B95A240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067E3656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32F746DA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5365E938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07B0E2E3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27FCD444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2967F837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4AA22B6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67391" w:rsidRPr="006F05CE" w14:paraId="10390212" w14:textId="77777777" w:rsidTr="00912735">
        <w:trPr>
          <w:gridAfter w:val="1"/>
          <w:wAfter w:w="7364" w:type="dxa"/>
          <w:trHeight w:val="255"/>
        </w:trPr>
        <w:tc>
          <w:tcPr>
            <w:tcW w:w="2094" w:type="dxa"/>
            <w:vMerge/>
          </w:tcPr>
          <w:p w14:paraId="53E4524F" w14:textId="77777777" w:rsidR="00A67391" w:rsidRDefault="00A67391" w:rsidP="00EE6C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561" w:type="dxa"/>
            <w:tcBorders>
              <w:top w:val="single" w:sz="4" w:space="0" w:color="auto"/>
            </w:tcBorders>
          </w:tcPr>
          <w:p w14:paraId="79369283" w14:textId="09BFAA7F" w:rsidR="00A67391" w:rsidRDefault="00A67391" w:rsidP="00EE6C8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The low-risk FN staff education package for medical and nursing has been adapted for local use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D9FA86C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310D0264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5B2170EC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2CF5E939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7101013A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4E98FFE3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5E9D7E01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5AF7E4B2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730D75ED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6671E933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3B0C3D24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F927255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67391" w:rsidRPr="006F05CE" w14:paraId="4F0137CF" w14:textId="77777777" w:rsidTr="00912735">
        <w:trPr>
          <w:gridAfter w:val="1"/>
          <w:wAfter w:w="7364" w:type="dxa"/>
          <w:trHeight w:val="255"/>
        </w:trPr>
        <w:tc>
          <w:tcPr>
            <w:tcW w:w="2094" w:type="dxa"/>
            <w:vMerge/>
          </w:tcPr>
          <w:p w14:paraId="2AB8E351" w14:textId="77777777" w:rsidR="00A67391" w:rsidRDefault="00A67391" w:rsidP="00EE6C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561" w:type="dxa"/>
            <w:tcBorders>
              <w:top w:val="single" w:sz="4" w:space="0" w:color="auto"/>
            </w:tcBorders>
          </w:tcPr>
          <w:p w14:paraId="11F5638F" w14:textId="44AA2827" w:rsidR="00A67391" w:rsidRDefault="00A67391" w:rsidP="00EE6C8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There is a sustainable plan for education of all staff (medical, nursing and pharmacy) from relevant departments (HITH, oncology, ID, ED) that will ensure new/rotating staff are updated.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DF92338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29C8CCA6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175FC3B7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4FE3FAED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781E3FD2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3B834071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354C1148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423FD604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26022FA5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3CEA9EC3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0FD9862B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6FCE59B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67391" w:rsidRPr="006F05CE" w14:paraId="7E4E281D" w14:textId="77777777" w:rsidTr="00912735">
        <w:trPr>
          <w:gridAfter w:val="1"/>
          <w:wAfter w:w="7364" w:type="dxa"/>
          <w:trHeight w:val="255"/>
        </w:trPr>
        <w:tc>
          <w:tcPr>
            <w:tcW w:w="2094" w:type="dxa"/>
            <w:vMerge w:val="restart"/>
            <w:tcBorders>
              <w:top w:val="single" w:sz="4" w:space="0" w:color="auto"/>
            </w:tcBorders>
          </w:tcPr>
          <w:p w14:paraId="54227BB0" w14:textId="630E16C1" w:rsidR="00A67391" w:rsidRDefault="00A67391" w:rsidP="00EE6C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Patient education</w:t>
            </w:r>
          </w:p>
        </w:tc>
        <w:tc>
          <w:tcPr>
            <w:tcW w:w="7561" w:type="dxa"/>
            <w:tcBorders>
              <w:top w:val="single" w:sz="4" w:space="0" w:color="auto"/>
            </w:tcBorders>
          </w:tcPr>
          <w:p w14:paraId="49EFEA5A" w14:textId="3F5384B3" w:rsidR="00A67391" w:rsidRDefault="00A67391" w:rsidP="00EE6C8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The low risk FN patient/carer education package has been adapted for local use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3FE4941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1D4CEBD4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2AFFD3BF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336B14EA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2E0E1646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6D7936EC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5E3CDE1D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6021EB68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1050CBB4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06A3607B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44B908FA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99A44CD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4E53CF" w:rsidRPr="006F05CE" w14:paraId="08E893A1" w14:textId="77777777" w:rsidTr="00912735">
        <w:trPr>
          <w:gridAfter w:val="1"/>
          <w:wAfter w:w="7364" w:type="dxa"/>
          <w:trHeight w:val="255"/>
        </w:trPr>
        <w:tc>
          <w:tcPr>
            <w:tcW w:w="2094" w:type="dxa"/>
            <w:vMerge/>
          </w:tcPr>
          <w:p w14:paraId="69E263C8" w14:textId="77777777" w:rsidR="004E53CF" w:rsidRDefault="004E53CF" w:rsidP="00EE6C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561" w:type="dxa"/>
            <w:tcBorders>
              <w:top w:val="single" w:sz="4" w:space="0" w:color="auto"/>
            </w:tcBorders>
          </w:tcPr>
          <w:p w14:paraId="2D1ADC14" w14:textId="71735D1E" w:rsidR="004E53CF" w:rsidRDefault="004E53CF" w:rsidP="00EE6C8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The low-risk FN patient/carer education package has been reviewed and endorsed by the local consumer representative/s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A79BEBC" w14:textId="77777777" w:rsidR="004E53CF" w:rsidRPr="006F05CE" w:rsidRDefault="004E53CF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2B97197A" w14:textId="77777777" w:rsidR="004E53CF" w:rsidRPr="006F05CE" w:rsidRDefault="004E53CF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5EB91571" w14:textId="77777777" w:rsidR="004E53CF" w:rsidRPr="006F05CE" w:rsidRDefault="004E53CF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7D786BC2" w14:textId="77777777" w:rsidR="004E53CF" w:rsidRPr="006F05CE" w:rsidRDefault="004E53CF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0FCAFE45" w14:textId="77777777" w:rsidR="004E53CF" w:rsidRPr="006F05CE" w:rsidRDefault="004E53CF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79895C3A" w14:textId="77777777" w:rsidR="004E53CF" w:rsidRPr="006F05CE" w:rsidRDefault="004E53CF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25A421FF" w14:textId="77777777" w:rsidR="004E53CF" w:rsidRPr="006F05CE" w:rsidRDefault="004E53CF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24B8F01B" w14:textId="77777777" w:rsidR="004E53CF" w:rsidRPr="006F05CE" w:rsidRDefault="004E53CF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65E005B0" w14:textId="77777777" w:rsidR="004E53CF" w:rsidRPr="006F05CE" w:rsidRDefault="004E53CF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5E470E85" w14:textId="77777777" w:rsidR="004E53CF" w:rsidRPr="006F05CE" w:rsidRDefault="004E53CF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6704FF7F" w14:textId="77777777" w:rsidR="004E53CF" w:rsidRPr="006F05CE" w:rsidRDefault="004E53CF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5CA9CA7" w14:textId="77777777" w:rsidR="004E53CF" w:rsidRPr="006F05CE" w:rsidRDefault="004E53CF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67391" w:rsidRPr="006F05CE" w14:paraId="3368E363" w14:textId="77777777" w:rsidTr="00912735">
        <w:trPr>
          <w:gridAfter w:val="1"/>
          <w:wAfter w:w="7364" w:type="dxa"/>
          <w:trHeight w:val="255"/>
        </w:trPr>
        <w:tc>
          <w:tcPr>
            <w:tcW w:w="2094" w:type="dxa"/>
            <w:vMerge/>
          </w:tcPr>
          <w:p w14:paraId="729D0541" w14:textId="77777777" w:rsidR="00A67391" w:rsidRDefault="00A67391" w:rsidP="00EE6C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561" w:type="dxa"/>
            <w:tcBorders>
              <w:top w:val="single" w:sz="4" w:space="0" w:color="auto"/>
            </w:tcBorders>
          </w:tcPr>
          <w:p w14:paraId="0CDF7B43" w14:textId="448BF6B7" w:rsidR="00A67391" w:rsidRDefault="00A67391" w:rsidP="00EE6C8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There is a sustainable plan for patient/carer education about the program including receiving appropriate information prior to transfer to the program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4887B80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32F6C640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40205CB1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3490CB2B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31CEF46F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6B84088F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434945AB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6D02845D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149CDC6C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60C0DFCB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6256504D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45386D8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67391" w:rsidRPr="006F05CE" w14:paraId="16ED8C61" w14:textId="77777777" w:rsidTr="00912735">
        <w:trPr>
          <w:gridAfter w:val="1"/>
          <w:wAfter w:w="7364" w:type="dxa"/>
          <w:trHeight w:val="255"/>
        </w:trPr>
        <w:tc>
          <w:tcPr>
            <w:tcW w:w="2094" w:type="dxa"/>
            <w:vMerge/>
          </w:tcPr>
          <w:p w14:paraId="60B58ED7" w14:textId="27221F0E" w:rsidR="00A67391" w:rsidRDefault="00A67391" w:rsidP="00EE6C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561" w:type="dxa"/>
            <w:tcBorders>
              <w:top w:val="single" w:sz="4" w:space="0" w:color="auto"/>
            </w:tcBorders>
          </w:tcPr>
          <w:p w14:paraId="3035BB6D" w14:textId="7DE9E934" w:rsidR="00A67391" w:rsidRDefault="00A67391" w:rsidP="00EE6C8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Patients</w:t>
            </w:r>
            <w:r w:rsidRPr="002C27B4">
              <w:rPr>
                <w:rFonts w:ascii="Arial" w:hAnsi="Arial" w:cs="Arial"/>
                <w:sz w:val="20"/>
                <w:szCs w:val="20"/>
                <w:lang w:val="en-AU"/>
              </w:rPr>
              <w:t xml:space="preserve"> managed at home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have</w:t>
            </w:r>
            <w:r w:rsidRPr="002C27B4">
              <w:rPr>
                <w:rFonts w:ascii="Arial" w:hAnsi="Arial" w:cs="Arial"/>
                <w:sz w:val="20"/>
                <w:szCs w:val="20"/>
                <w:lang w:val="en-AU"/>
              </w:rPr>
              <w:t xml:space="preserve"> clear understanding of how to re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-</w:t>
            </w:r>
            <w:r w:rsidRPr="002C27B4">
              <w:rPr>
                <w:rFonts w:ascii="Arial" w:hAnsi="Arial" w:cs="Arial"/>
                <w:sz w:val="20"/>
                <w:szCs w:val="20"/>
                <w:lang w:val="en-AU"/>
              </w:rPr>
              <w:t xml:space="preserve">access the hospital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in an emergency both in hours and</w:t>
            </w:r>
            <w:r w:rsidRPr="002C27B4">
              <w:rPr>
                <w:rFonts w:ascii="Arial" w:hAnsi="Arial" w:cs="Arial"/>
                <w:sz w:val="20"/>
                <w:szCs w:val="20"/>
                <w:lang w:val="en-AU"/>
              </w:rPr>
              <w:t xml:space="preserve"> after hours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. Similarly, for non-urgent queries patients are provided with clear instructions on who to contact.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8641EF7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54049F74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5066080C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754F8534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06B61BB9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13523731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541C0201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5185CAD6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14C351DB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2427F76E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2C4C0BA2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C670311" w14:textId="77777777" w:rsidR="00A67391" w:rsidRPr="006F05CE" w:rsidRDefault="00A67391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EE6C89" w:rsidRPr="006F05CE" w14:paraId="5A3E5FB6" w14:textId="4DFC6916" w:rsidTr="00912735">
        <w:trPr>
          <w:gridAfter w:val="1"/>
          <w:wAfter w:w="7364" w:type="dxa"/>
          <w:trHeight w:val="268"/>
        </w:trPr>
        <w:tc>
          <w:tcPr>
            <w:tcW w:w="2094" w:type="dxa"/>
          </w:tcPr>
          <w:p w14:paraId="1A832369" w14:textId="2D248FF6" w:rsidR="00EE6C89" w:rsidRPr="006F05CE" w:rsidRDefault="00EE6C89" w:rsidP="00EE6C8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561" w:type="dxa"/>
          </w:tcPr>
          <w:p w14:paraId="3B5B3CB2" w14:textId="77777777" w:rsidR="00EE6C89" w:rsidRDefault="00912735" w:rsidP="00EE6C8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Other as required</w:t>
            </w:r>
          </w:p>
          <w:p w14:paraId="33F242B8" w14:textId="76F1F545" w:rsidR="00912735" w:rsidRPr="00254D57" w:rsidRDefault="00912735" w:rsidP="0091273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</w:tcPr>
          <w:p w14:paraId="6FF662EF" w14:textId="77777777" w:rsidR="00EE6C89" w:rsidRPr="006F05CE" w:rsidRDefault="00EE6C89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5FCD75B0" w14:textId="77777777" w:rsidR="00EE6C89" w:rsidRPr="006F05CE" w:rsidRDefault="00EE6C89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1009C954" w14:textId="77777777" w:rsidR="00EE6C89" w:rsidRPr="006F05CE" w:rsidRDefault="00EE6C89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619D4F3C" w14:textId="77777777" w:rsidR="00EE6C89" w:rsidRPr="006F05CE" w:rsidRDefault="00EE6C89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4280B8BE" w14:textId="77777777" w:rsidR="00EE6C89" w:rsidRPr="006F05CE" w:rsidRDefault="00EE6C89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B1124FB" w14:textId="77777777" w:rsidR="00EE6C89" w:rsidRPr="006F05CE" w:rsidRDefault="00EE6C89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23B4644C" w14:textId="77777777" w:rsidR="00EE6C89" w:rsidRPr="006F05CE" w:rsidRDefault="00EE6C89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12018276" w14:textId="77777777" w:rsidR="00EE6C89" w:rsidRPr="006F05CE" w:rsidRDefault="00EE6C89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53AAD1C2" w14:textId="77777777" w:rsidR="00EE6C89" w:rsidRPr="006F05CE" w:rsidRDefault="00EE6C89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380DCA13" w14:textId="77777777" w:rsidR="00EE6C89" w:rsidRPr="006F05CE" w:rsidRDefault="00EE6C89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328555C5" w14:textId="77777777" w:rsidR="00EE6C89" w:rsidRPr="006F05CE" w:rsidRDefault="00EE6C89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</w:tcPr>
          <w:p w14:paraId="24F96358" w14:textId="77777777" w:rsidR="00EE6C89" w:rsidRPr="006F05CE" w:rsidRDefault="00EE6C89" w:rsidP="00EE6C8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67391" w:rsidRPr="006F05CE" w14:paraId="4FA98F60" w14:textId="7E16DF27" w:rsidTr="00744986">
        <w:trPr>
          <w:trHeight w:val="268"/>
        </w:trPr>
        <w:tc>
          <w:tcPr>
            <w:tcW w:w="155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0E300FB" w14:textId="1FF75142" w:rsidR="00A67391" w:rsidRPr="006F05CE" w:rsidRDefault="00A67391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F05CE">
              <w:rPr>
                <w:rFonts w:ascii="Arial" w:hAnsi="Arial" w:cs="Arial"/>
                <w:b/>
                <w:sz w:val="20"/>
                <w:szCs w:val="20"/>
                <w:lang w:val="en-AU"/>
              </w:rPr>
              <w:t>INFRASTRUCTURE</w:t>
            </w:r>
          </w:p>
        </w:tc>
        <w:tc>
          <w:tcPr>
            <w:tcW w:w="7364" w:type="dxa"/>
          </w:tcPr>
          <w:p w14:paraId="4E7BE230" w14:textId="77777777" w:rsidR="00A67391" w:rsidRPr="006F05CE" w:rsidRDefault="00A67391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98571C" w:rsidRPr="006F05CE" w14:paraId="4367D21F" w14:textId="77777777" w:rsidTr="00912735">
        <w:trPr>
          <w:gridAfter w:val="1"/>
          <w:wAfter w:w="7364" w:type="dxa"/>
          <w:trHeight w:val="268"/>
        </w:trPr>
        <w:tc>
          <w:tcPr>
            <w:tcW w:w="2094" w:type="dxa"/>
            <w:vMerge w:val="restart"/>
          </w:tcPr>
          <w:p w14:paraId="44426E24" w14:textId="76A1A411" w:rsidR="0098571C" w:rsidRPr="006F05CE" w:rsidRDefault="0098571C" w:rsidP="00A6739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Electronic medical record</w:t>
            </w:r>
            <w:r w:rsidRPr="006F05CE">
              <w:rPr>
                <w:rFonts w:ascii="Arial" w:hAnsi="Arial" w:cs="Arial"/>
                <w:color w:val="333333"/>
                <w:sz w:val="20"/>
                <w:szCs w:val="20"/>
              </w:rPr>
              <w:t xml:space="preserve"> systems </w:t>
            </w:r>
          </w:p>
        </w:tc>
        <w:tc>
          <w:tcPr>
            <w:tcW w:w="7561" w:type="dxa"/>
          </w:tcPr>
          <w:p w14:paraId="43882D33" w14:textId="150B1E86" w:rsidR="0098571C" w:rsidRPr="0098571C" w:rsidRDefault="0098571C" w:rsidP="0098571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Where relevant, electronic medical records (EMR) are updated to reflect the new pathway.</w:t>
            </w:r>
          </w:p>
        </w:tc>
        <w:tc>
          <w:tcPr>
            <w:tcW w:w="0" w:type="auto"/>
          </w:tcPr>
          <w:p w14:paraId="5A3ADA5D" w14:textId="77777777" w:rsidR="0098571C" w:rsidRPr="006F05CE" w:rsidRDefault="0098571C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ED7FDA6" w14:textId="77777777" w:rsidR="0098571C" w:rsidRPr="006F05CE" w:rsidRDefault="0098571C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5F2A974E" w14:textId="77777777" w:rsidR="0098571C" w:rsidRPr="006F05CE" w:rsidRDefault="0098571C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7FFB688B" w14:textId="77777777" w:rsidR="0098571C" w:rsidRPr="006F05CE" w:rsidRDefault="0098571C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6AE69B33" w14:textId="77777777" w:rsidR="0098571C" w:rsidRPr="006F05CE" w:rsidRDefault="0098571C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BDCD35D" w14:textId="77777777" w:rsidR="0098571C" w:rsidRPr="006F05CE" w:rsidRDefault="0098571C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51A5568C" w14:textId="77777777" w:rsidR="0098571C" w:rsidRPr="006F05CE" w:rsidRDefault="0098571C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4EF628CD" w14:textId="77777777" w:rsidR="0098571C" w:rsidRPr="006F05CE" w:rsidRDefault="0098571C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5488288C" w14:textId="77777777" w:rsidR="0098571C" w:rsidRPr="006F05CE" w:rsidRDefault="0098571C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0688682B" w14:textId="77777777" w:rsidR="0098571C" w:rsidRPr="006F05CE" w:rsidRDefault="0098571C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3A10DCEA" w14:textId="77777777" w:rsidR="0098571C" w:rsidRPr="006F05CE" w:rsidRDefault="0098571C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</w:tcPr>
          <w:p w14:paraId="33F7C5B0" w14:textId="77777777" w:rsidR="0098571C" w:rsidRPr="006F05CE" w:rsidRDefault="0098571C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98571C" w:rsidRPr="006F05CE" w14:paraId="776520CC" w14:textId="77777777" w:rsidTr="00912735">
        <w:trPr>
          <w:gridAfter w:val="1"/>
          <w:wAfter w:w="7364" w:type="dxa"/>
          <w:trHeight w:val="268"/>
        </w:trPr>
        <w:tc>
          <w:tcPr>
            <w:tcW w:w="2094" w:type="dxa"/>
            <w:vMerge/>
          </w:tcPr>
          <w:p w14:paraId="25206995" w14:textId="77777777" w:rsidR="0098571C" w:rsidRPr="006F05CE" w:rsidRDefault="0098571C" w:rsidP="00A6739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561" w:type="dxa"/>
          </w:tcPr>
          <w:p w14:paraId="677F4EFF" w14:textId="7558070C" w:rsidR="0098571C" w:rsidRDefault="0098571C" w:rsidP="0098571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Consideration is given to utilising EMR alerts to notify relevant staff of a patient’s suitability for consideration of the program.</w:t>
            </w:r>
          </w:p>
        </w:tc>
        <w:tc>
          <w:tcPr>
            <w:tcW w:w="0" w:type="auto"/>
          </w:tcPr>
          <w:p w14:paraId="1A066C9F" w14:textId="77777777" w:rsidR="0098571C" w:rsidRPr="006F05CE" w:rsidRDefault="0098571C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0381DD64" w14:textId="77777777" w:rsidR="0098571C" w:rsidRPr="006F05CE" w:rsidRDefault="0098571C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2816FFB3" w14:textId="77777777" w:rsidR="0098571C" w:rsidRPr="006F05CE" w:rsidRDefault="0098571C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155C3C9D" w14:textId="77777777" w:rsidR="0098571C" w:rsidRPr="006F05CE" w:rsidRDefault="0098571C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0E8E0A8F" w14:textId="77777777" w:rsidR="0098571C" w:rsidRPr="006F05CE" w:rsidRDefault="0098571C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7A37DA46" w14:textId="77777777" w:rsidR="0098571C" w:rsidRPr="006F05CE" w:rsidRDefault="0098571C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4BBDB6D3" w14:textId="77777777" w:rsidR="0098571C" w:rsidRPr="006F05CE" w:rsidRDefault="0098571C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481B9F2F" w14:textId="77777777" w:rsidR="0098571C" w:rsidRPr="006F05CE" w:rsidRDefault="0098571C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66B6A271" w14:textId="77777777" w:rsidR="0098571C" w:rsidRPr="006F05CE" w:rsidRDefault="0098571C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0782B720" w14:textId="77777777" w:rsidR="0098571C" w:rsidRPr="006F05CE" w:rsidRDefault="0098571C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3CB7F395" w14:textId="77777777" w:rsidR="0098571C" w:rsidRPr="006F05CE" w:rsidRDefault="0098571C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</w:tcPr>
          <w:p w14:paraId="7808745E" w14:textId="77777777" w:rsidR="0098571C" w:rsidRPr="006F05CE" w:rsidRDefault="0098571C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98571C" w:rsidRPr="006F05CE" w14:paraId="68593893" w14:textId="77777777" w:rsidTr="00912735">
        <w:trPr>
          <w:gridAfter w:val="1"/>
          <w:wAfter w:w="7364" w:type="dxa"/>
          <w:trHeight w:val="268"/>
        </w:trPr>
        <w:tc>
          <w:tcPr>
            <w:tcW w:w="2094" w:type="dxa"/>
            <w:vMerge/>
          </w:tcPr>
          <w:p w14:paraId="00F4B94C" w14:textId="77777777" w:rsidR="0098571C" w:rsidRPr="006F05CE" w:rsidRDefault="0098571C" w:rsidP="00A6739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561" w:type="dxa"/>
          </w:tcPr>
          <w:p w14:paraId="47753768" w14:textId="66953ED3" w:rsidR="0098571C" w:rsidRDefault="0098571C" w:rsidP="00A6739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8571C">
              <w:rPr>
                <w:rFonts w:ascii="Arial" w:hAnsi="Arial" w:cs="Arial"/>
                <w:sz w:val="20"/>
                <w:szCs w:val="20"/>
                <w:lang w:val="en-AU"/>
              </w:rPr>
              <w:t>Paper based program instructions are available in all relevant clinical areas for when the EMR is unavailable.</w:t>
            </w:r>
          </w:p>
        </w:tc>
        <w:tc>
          <w:tcPr>
            <w:tcW w:w="0" w:type="auto"/>
          </w:tcPr>
          <w:p w14:paraId="76DB5D5B" w14:textId="77777777" w:rsidR="0098571C" w:rsidRPr="006F05CE" w:rsidRDefault="0098571C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589969C9" w14:textId="77777777" w:rsidR="0098571C" w:rsidRPr="006F05CE" w:rsidRDefault="0098571C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107C3C6F" w14:textId="77777777" w:rsidR="0098571C" w:rsidRPr="006F05CE" w:rsidRDefault="0098571C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09271DD5" w14:textId="77777777" w:rsidR="0098571C" w:rsidRPr="006F05CE" w:rsidRDefault="0098571C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CB02E00" w14:textId="77777777" w:rsidR="0098571C" w:rsidRPr="006F05CE" w:rsidRDefault="0098571C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DE183A0" w14:textId="77777777" w:rsidR="0098571C" w:rsidRPr="006F05CE" w:rsidRDefault="0098571C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5F8371DB" w14:textId="77777777" w:rsidR="0098571C" w:rsidRPr="006F05CE" w:rsidRDefault="0098571C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50B3CB81" w14:textId="77777777" w:rsidR="0098571C" w:rsidRPr="006F05CE" w:rsidRDefault="0098571C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1C92F1C0" w14:textId="77777777" w:rsidR="0098571C" w:rsidRPr="006F05CE" w:rsidRDefault="0098571C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C511D14" w14:textId="77777777" w:rsidR="0098571C" w:rsidRPr="006F05CE" w:rsidRDefault="0098571C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5ED5694C" w14:textId="77777777" w:rsidR="0098571C" w:rsidRPr="006F05CE" w:rsidRDefault="0098571C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</w:tcPr>
          <w:p w14:paraId="3C356B11" w14:textId="77777777" w:rsidR="0098571C" w:rsidRPr="006F05CE" w:rsidRDefault="0098571C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1F0620" w:rsidRPr="006F05CE" w14:paraId="0DDA77B3" w14:textId="4201F621" w:rsidTr="00912735">
        <w:trPr>
          <w:gridAfter w:val="1"/>
          <w:wAfter w:w="7364" w:type="dxa"/>
          <w:trHeight w:val="268"/>
        </w:trPr>
        <w:tc>
          <w:tcPr>
            <w:tcW w:w="2094" w:type="dxa"/>
            <w:vMerge w:val="restart"/>
          </w:tcPr>
          <w:p w14:paraId="25EAB0BF" w14:textId="4B00B5C9" w:rsidR="001F0620" w:rsidRPr="006F05CE" w:rsidRDefault="001F0620" w:rsidP="00A6739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Patient review</w:t>
            </w:r>
            <w:r w:rsidRPr="006F05CE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7561" w:type="dxa"/>
          </w:tcPr>
          <w:p w14:paraId="378B4AE1" w14:textId="1A05F407" w:rsidR="001F0620" w:rsidRPr="001F0620" w:rsidRDefault="001F0620" w:rsidP="001F062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A suitable space has been identified </w:t>
            </w:r>
            <w:r w:rsidR="00912735">
              <w:rPr>
                <w:rFonts w:ascii="Arial" w:hAnsi="Arial" w:cs="Arial"/>
                <w:sz w:val="20"/>
                <w:szCs w:val="20"/>
                <w:lang w:val="en-AU"/>
              </w:rPr>
              <w:t>for elective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review </w:t>
            </w:r>
            <w:r w:rsidR="00912735">
              <w:rPr>
                <w:rFonts w:ascii="Arial" w:hAnsi="Arial" w:cs="Arial"/>
                <w:sz w:val="20"/>
                <w:szCs w:val="20"/>
                <w:lang w:val="en-AU"/>
              </w:rPr>
              <w:t xml:space="preserve">of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patients, as required, as well as </w:t>
            </w:r>
            <w:r w:rsidR="00912735">
              <w:rPr>
                <w:rFonts w:ascii="Arial" w:hAnsi="Arial" w:cs="Arial"/>
                <w:sz w:val="20"/>
                <w:szCs w:val="20"/>
                <w:lang w:val="en-AU"/>
              </w:rPr>
              <w:t xml:space="preserve">for patients that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require more urgent medical review.</w:t>
            </w:r>
          </w:p>
        </w:tc>
        <w:tc>
          <w:tcPr>
            <w:tcW w:w="0" w:type="auto"/>
          </w:tcPr>
          <w:p w14:paraId="75C47C1E" w14:textId="77777777" w:rsidR="001F0620" w:rsidRPr="006F05CE" w:rsidRDefault="001F0620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7F3BA2D2" w14:textId="77777777" w:rsidR="001F0620" w:rsidRPr="006F05CE" w:rsidRDefault="001F0620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7A860C60" w14:textId="77777777" w:rsidR="001F0620" w:rsidRPr="006F05CE" w:rsidRDefault="001F0620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6C7D76B9" w14:textId="77777777" w:rsidR="001F0620" w:rsidRPr="006F05CE" w:rsidRDefault="001F0620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2153BCD3" w14:textId="77777777" w:rsidR="001F0620" w:rsidRPr="006F05CE" w:rsidRDefault="001F0620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C334C93" w14:textId="77777777" w:rsidR="001F0620" w:rsidRPr="006F05CE" w:rsidRDefault="001F0620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5BF57707" w14:textId="77777777" w:rsidR="001F0620" w:rsidRPr="006F05CE" w:rsidRDefault="001F0620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79359BA" w14:textId="77777777" w:rsidR="001F0620" w:rsidRPr="006F05CE" w:rsidRDefault="001F0620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723C2243" w14:textId="77777777" w:rsidR="001F0620" w:rsidRPr="006F05CE" w:rsidRDefault="001F0620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A0DDC68" w14:textId="77777777" w:rsidR="001F0620" w:rsidRPr="006F05CE" w:rsidRDefault="001F0620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45E9AB89" w14:textId="77777777" w:rsidR="001F0620" w:rsidRPr="006F05CE" w:rsidRDefault="001F0620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</w:tcPr>
          <w:p w14:paraId="522DAA45" w14:textId="77777777" w:rsidR="001F0620" w:rsidRPr="006F05CE" w:rsidRDefault="001F0620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1F0620" w:rsidRPr="006F05CE" w14:paraId="24BD9540" w14:textId="77777777" w:rsidTr="00912735">
        <w:trPr>
          <w:gridAfter w:val="1"/>
          <w:wAfter w:w="7364" w:type="dxa"/>
          <w:trHeight w:val="268"/>
        </w:trPr>
        <w:tc>
          <w:tcPr>
            <w:tcW w:w="2094" w:type="dxa"/>
            <w:vMerge/>
          </w:tcPr>
          <w:p w14:paraId="66E04FC5" w14:textId="77777777" w:rsidR="001F0620" w:rsidRDefault="001F0620" w:rsidP="00A6739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561" w:type="dxa"/>
          </w:tcPr>
          <w:p w14:paraId="46612463" w14:textId="17D719E4" w:rsidR="001F0620" w:rsidRDefault="001F0620" w:rsidP="001F062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Consideration has been given to managing low-risk FN patients on a HITH-based program who require urgent in-hospital medical review as per standard HITH procedures</w:t>
            </w:r>
          </w:p>
        </w:tc>
        <w:tc>
          <w:tcPr>
            <w:tcW w:w="0" w:type="auto"/>
          </w:tcPr>
          <w:p w14:paraId="17BDD26B" w14:textId="77777777" w:rsidR="001F0620" w:rsidRPr="006F05CE" w:rsidRDefault="001F0620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83E0E49" w14:textId="77777777" w:rsidR="001F0620" w:rsidRPr="006F05CE" w:rsidRDefault="001F0620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2FB7084C" w14:textId="77777777" w:rsidR="001F0620" w:rsidRPr="006F05CE" w:rsidRDefault="001F0620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1BC6162A" w14:textId="77777777" w:rsidR="001F0620" w:rsidRPr="006F05CE" w:rsidRDefault="001F0620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194D18D6" w14:textId="77777777" w:rsidR="001F0620" w:rsidRPr="006F05CE" w:rsidRDefault="001F0620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3DBE7979" w14:textId="77777777" w:rsidR="001F0620" w:rsidRPr="006F05CE" w:rsidRDefault="001F0620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4F46E57B" w14:textId="77777777" w:rsidR="001F0620" w:rsidRPr="006F05CE" w:rsidRDefault="001F0620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6DDE874F" w14:textId="77777777" w:rsidR="001F0620" w:rsidRPr="006F05CE" w:rsidRDefault="001F0620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0CF9C38F" w14:textId="77777777" w:rsidR="001F0620" w:rsidRPr="006F05CE" w:rsidRDefault="001F0620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4D0011D" w14:textId="77777777" w:rsidR="001F0620" w:rsidRPr="006F05CE" w:rsidRDefault="001F0620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1AC7B045" w14:textId="77777777" w:rsidR="001F0620" w:rsidRPr="006F05CE" w:rsidRDefault="001F0620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</w:tcPr>
          <w:p w14:paraId="79C20EC5" w14:textId="77777777" w:rsidR="001F0620" w:rsidRPr="006F05CE" w:rsidRDefault="001F0620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74512" w:rsidRPr="006F05CE" w14:paraId="1CF21564" w14:textId="77777777" w:rsidTr="00912735">
        <w:trPr>
          <w:gridAfter w:val="1"/>
          <w:wAfter w:w="7364" w:type="dxa"/>
          <w:trHeight w:val="268"/>
        </w:trPr>
        <w:tc>
          <w:tcPr>
            <w:tcW w:w="2094" w:type="dxa"/>
            <w:vMerge w:val="restart"/>
          </w:tcPr>
          <w:p w14:paraId="6128AB22" w14:textId="7193FE81" w:rsidR="00A74512" w:rsidRPr="006F05CE" w:rsidRDefault="00A74512" w:rsidP="00A6739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Monitoring safety and efficiency</w:t>
            </w:r>
          </w:p>
        </w:tc>
        <w:tc>
          <w:tcPr>
            <w:tcW w:w="7561" w:type="dxa"/>
          </w:tcPr>
          <w:p w14:paraId="703A2605" w14:textId="7A21548F" w:rsidR="00A74512" w:rsidRDefault="00A74512" w:rsidP="00A6739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There is capacity to collect and monitor key performance indicators (KPI) for program safety and efficiency  </w:t>
            </w:r>
          </w:p>
        </w:tc>
        <w:tc>
          <w:tcPr>
            <w:tcW w:w="0" w:type="auto"/>
          </w:tcPr>
          <w:p w14:paraId="01D17286" w14:textId="77777777" w:rsidR="00A74512" w:rsidRPr="006F05CE" w:rsidRDefault="00A74512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5B2336F3" w14:textId="77777777" w:rsidR="00A74512" w:rsidRPr="006F05CE" w:rsidRDefault="00A74512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70FFF1ED" w14:textId="77777777" w:rsidR="00A74512" w:rsidRPr="006F05CE" w:rsidRDefault="00A74512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25F1064A" w14:textId="77777777" w:rsidR="00A74512" w:rsidRPr="006F05CE" w:rsidRDefault="00A74512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2A8AFBA8" w14:textId="77777777" w:rsidR="00A74512" w:rsidRPr="006F05CE" w:rsidRDefault="00A74512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30E52D68" w14:textId="77777777" w:rsidR="00A74512" w:rsidRPr="006F05CE" w:rsidRDefault="00A74512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630BAC4C" w14:textId="77777777" w:rsidR="00A74512" w:rsidRPr="006F05CE" w:rsidRDefault="00A74512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51DDBE51" w14:textId="77777777" w:rsidR="00A74512" w:rsidRPr="006F05CE" w:rsidRDefault="00A74512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42DB1A0B" w14:textId="77777777" w:rsidR="00A74512" w:rsidRPr="006F05CE" w:rsidRDefault="00A74512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A82F20F" w14:textId="77777777" w:rsidR="00A74512" w:rsidRPr="006F05CE" w:rsidRDefault="00A74512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3C8D1007" w14:textId="77777777" w:rsidR="00A74512" w:rsidRPr="006F05CE" w:rsidRDefault="00A74512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</w:tcPr>
          <w:p w14:paraId="0AACA993" w14:textId="77777777" w:rsidR="00A74512" w:rsidRPr="006F05CE" w:rsidRDefault="00A74512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74512" w:rsidRPr="006F05CE" w14:paraId="3A8FEF2C" w14:textId="77777777" w:rsidTr="00912735">
        <w:trPr>
          <w:gridAfter w:val="1"/>
          <w:wAfter w:w="7364" w:type="dxa"/>
          <w:trHeight w:val="268"/>
        </w:trPr>
        <w:tc>
          <w:tcPr>
            <w:tcW w:w="2094" w:type="dxa"/>
            <w:vMerge/>
          </w:tcPr>
          <w:p w14:paraId="579B0E00" w14:textId="77777777" w:rsidR="00A74512" w:rsidRDefault="00A74512" w:rsidP="00A6739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561" w:type="dxa"/>
          </w:tcPr>
          <w:p w14:paraId="72750CC2" w14:textId="43523F61" w:rsidR="00A74512" w:rsidRDefault="00A74512" w:rsidP="00A6739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Where relevant, the EMR systems will be updated to assist in automated collection of these KPIs</w:t>
            </w:r>
          </w:p>
        </w:tc>
        <w:tc>
          <w:tcPr>
            <w:tcW w:w="0" w:type="auto"/>
          </w:tcPr>
          <w:p w14:paraId="0F776ADC" w14:textId="77777777" w:rsidR="00A74512" w:rsidRPr="006F05CE" w:rsidRDefault="00A74512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734B417A" w14:textId="77777777" w:rsidR="00A74512" w:rsidRPr="006F05CE" w:rsidRDefault="00A74512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291BD112" w14:textId="77777777" w:rsidR="00A74512" w:rsidRPr="006F05CE" w:rsidRDefault="00A74512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2B305ACF" w14:textId="77777777" w:rsidR="00A74512" w:rsidRPr="006F05CE" w:rsidRDefault="00A74512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791884AC" w14:textId="77777777" w:rsidR="00A74512" w:rsidRPr="006F05CE" w:rsidRDefault="00A74512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3CA6B3A5" w14:textId="77777777" w:rsidR="00A74512" w:rsidRPr="006F05CE" w:rsidRDefault="00A74512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62468FD7" w14:textId="77777777" w:rsidR="00A74512" w:rsidRPr="006F05CE" w:rsidRDefault="00A74512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48090F36" w14:textId="77777777" w:rsidR="00A74512" w:rsidRPr="006F05CE" w:rsidRDefault="00A74512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1E9957DF" w14:textId="77777777" w:rsidR="00A74512" w:rsidRPr="006F05CE" w:rsidRDefault="00A74512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7BCCC3E6" w14:textId="77777777" w:rsidR="00A74512" w:rsidRPr="006F05CE" w:rsidRDefault="00A74512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7984501A" w14:textId="77777777" w:rsidR="00A74512" w:rsidRPr="006F05CE" w:rsidRDefault="00A74512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</w:tcPr>
          <w:p w14:paraId="6401F7E5" w14:textId="77777777" w:rsidR="00A74512" w:rsidRPr="006F05CE" w:rsidRDefault="00A74512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67391" w:rsidRPr="006F05CE" w14:paraId="58619F6F" w14:textId="77777777" w:rsidTr="00912735">
        <w:trPr>
          <w:gridAfter w:val="1"/>
          <w:wAfter w:w="7364" w:type="dxa"/>
          <w:trHeight w:val="268"/>
        </w:trPr>
        <w:tc>
          <w:tcPr>
            <w:tcW w:w="9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2D6548EC" w14:textId="64EA64A0" w:rsidR="00A67391" w:rsidRPr="00EF15A2" w:rsidRDefault="00A67391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EVALUATION AND FEEDBACK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21AB627F" w14:textId="77777777" w:rsidR="00A67391" w:rsidRPr="006F05CE" w:rsidRDefault="00A67391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46EE7708" w14:textId="77777777" w:rsidR="00A67391" w:rsidRPr="006F05CE" w:rsidRDefault="00A67391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45594007" w14:textId="77777777" w:rsidR="00A67391" w:rsidRPr="006F05CE" w:rsidRDefault="00A67391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0BFA2962" w14:textId="77777777" w:rsidR="00A67391" w:rsidRPr="006F05CE" w:rsidRDefault="00A67391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17124A1A" w14:textId="77777777" w:rsidR="00A67391" w:rsidRPr="006F05CE" w:rsidRDefault="00A67391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33B19572" w14:textId="77777777" w:rsidR="00A67391" w:rsidRPr="006F05CE" w:rsidRDefault="00A67391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3EBF13A0" w14:textId="77777777" w:rsidR="00A67391" w:rsidRPr="006F05CE" w:rsidRDefault="00A67391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4360B977" w14:textId="77777777" w:rsidR="00A67391" w:rsidRPr="006F05CE" w:rsidRDefault="00A67391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70B7E9FC" w14:textId="77777777" w:rsidR="00A67391" w:rsidRPr="006F05CE" w:rsidRDefault="00A67391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5A986DFE" w14:textId="77777777" w:rsidR="00A67391" w:rsidRPr="006F05CE" w:rsidRDefault="00A67391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24C09672" w14:textId="77777777" w:rsidR="00A67391" w:rsidRPr="006F05CE" w:rsidRDefault="00A67391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0B585FD8" w14:textId="77777777" w:rsidR="00A67391" w:rsidRPr="006F05CE" w:rsidRDefault="00A67391" w:rsidP="00A6739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74512" w:rsidRPr="006F05CE" w14:paraId="40474893" w14:textId="77777777" w:rsidTr="00912735">
        <w:trPr>
          <w:gridAfter w:val="1"/>
          <w:wAfter w:w="7364" w:type="dxa"/>
          <w:trHeight w:val="268"/>
        </w:trPr>
        <w:tc>
          <w:tcPr>
            <w:tcW w:w="2094" w:type="dxa"/>
            <w:vMerge w:val="restart"/>
            <w:tcBorders>
              <w:top w:val="single" w:sz="4" w:space="0" w:color="auto"/>
            </w:tcBorders>
          </w:tcPr>
          <w:p w14:paraId="281264A9" w14:textId="2535A2F6" w:rsidR="00A74512" w:rsidRDefault="00A74512" w:rsidP="001F062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 xml:space="preserve">Program safety </w:t>
            </w:r>
          </w:p>
        </w:tc>
        <w:tc>
          <w:tcPr>
            <w:tcW w:w="7561" w:type="dxa"/>
            <w:tcBorders>
              <w:top w:val="single" w:sz="4" w:space="0" w:color="auto"/>
            </w:tcBorders>
          </w:tcPr>
          <w:p w14:paraId="64AC7791" w14:textId="5F32147E" w:rsidR="00A74512" w:rsidRDefault="00A74512" w:rsidP="001F062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The following KPIs will be routinely monitored on all patients on the program: hospital representations and reason, hospital readmission and reason, missed infections or adverse events.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773DD27" w14:textId="77777777" w:rsidR="00A74512" w:rsidRPr="006F05CE" w:rsidRDefault="00A74512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42F7F516" w14:textId="77777777" w:rsidR="00A74512" w:rsidRPr="006F05CE" w:rsidRDefault="00A74512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3D82379E" w14:textId="77777777" w:rsidR="00A74512" w:rsidRPr="006F05CE" w:rsidRDefault="00A74512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479C6E15" w14:textId="77777777" w:rsidR="00A74512" w:rsidRPr="006F05CE" w:rsidRDefault="00A74512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5737F29F" w14:textId="77777777" w:rsidR="00A74512" w:rsidRPr="006F05CE" w:rsidRDefault="00A74512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1863932F" w14:textId="77777777" w:rsidR="00A74512" w:rsidRPr="006F05CE" w:rsidRDefault="00A74512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3F12283F" w14:textId="77777777" w:rsidR="00A74512" w:rsidRPr="006F05CE" w:rsidRDefault="00A74512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369EDF3D" w14:textId="77777777" w:rsidR="00A74512" w:rsidRPr="006F05CE" w:rsidRDefault="00A74512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07E705A6" w14:textId="77777777" w:rsidR="00A74512" w:rsidRPr="006F05CE" w:rsidRDefault="00A74512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44D066A7" w14:textId="77777777" w:rsidR="00A74512" w:rsidRPr="006F05CE" w:rsidRDefault="00A74512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09FEFB19" w14:textId="77777777" w:rsidR="00A74512" w:rsidRPr="006F05CE" w:rsidRDefault="00A74512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5F3AD2D" w14:textId="77777777" w:rsidR="00A74512" w:rsidRPr="006F05CE" w:rsidRDefault="00A74512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74512" w:rsidRPr="006F05CE" w14:paraId="1238858F" w14:textId="77777777" w:rsidTr="00912735">
        <w:trPr>
          <w:gridAfter w:val="1"/>
          <w:wAfter w:w="7364" w:type="dxa"/>
          <w:trHeight w:val="268"/>
        </w:trPr>
        <w:tc>
          <w:tcPr>
            <w:tcW w:w="2094" w:type="dxa"/>
            <w:vMerge/>
          </w:tcPr>
          <w:p w14:paraId="2D3B68AB" w14:textId="77777777" w:rsidR="00A74512" w:rsidRDefault="00A74512" w:rsidP="001F062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561" w:type="dxa"/>
            <w:tcBorders>
              <w:top w:val="single" w:sz="4" w:space="0" w:color="auto"/>
            </w:tcBorders>
          </w:tcPr>
          <w:p w14:paraId="5B2B35D2" w14:textId="5AAF7782" w:rsidR="00A74512" w:rsidRDefault="00A74512" w:rsidP="001F062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A formal root cause analysis will be completed on all hospital readmissions or adverse events and reviewed by the steering group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3BCA0FE" w14:textId="7A2D8170" w:rsidR="00A74512" w:rsidRPr="006F05CE" w:rsidRDefault="00A74512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1678F2BD" w14:textId="77777777" w:rsidR="00A74512" w:rsidRPr="006F05CE" w:rsidRDefault="00A74512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3904F48F" w14:textId="77777777" w:rsidR="00A74512" w:rsidRPr="006F05CE" w:rsidRDefault="00A74512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0E26D8C3" w14:textId="77777777" w:rsidR="00A74512" w:rsidRPr="006F05CE" w:rsidRDefault="00A74512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035656E8" w14:textId="77777777" w:rsidR="00A74512" w:rsidRPr="006F05CE" w:rsidRDefault="00A74512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2250C040" w14:textId="77777777" w:rsidR="00A74512" w:rsidRPr="006F05CE" w:rsidRDefault="00A74512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0EEC130C" w14:textId="77777777" w:rsidR="00A74512" w:rsidRPr="006F05CE" w:rsidRDefault="00A74512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11A364E4" w14:textId="77777777" w:rsidR="00A74512" w:rsidRPr="006F05CE" w:rsidRDefault="00A74512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446234C7" w14:textId="77777777" w:rsidR="00A74512" w:rsidRPr="006F05CE" w:rsidRDefault="00A74512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068F87BE" w14:textId="77777777" w:rsidR="00A74512" w:rsidRPr="006F05CE" w:rsidRDefault="00A74512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4B574882" w14:textId="77777777" w:rsidR="00A74512" w:rsidRPr="006F05CE" w:rsidRDefault="00A74512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E857DD0" w14:textId="77777777" w:rsidR="00A74512" w:rsidRPr="006F05CE" w:rsidRDefault="00A74512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1F0620" w:rsidRPr="006F05CE" w14:paraId="3C9E3318" w14:textId="77777777" w:rsidTr="00912735">
        <w:trPr>
          <w:gridAfter w:val="1"/>
          <w:wAfter w:w="7364" w:type="dxa"/>
          <w:trHeight w:val="268"/>
        </w:trPr>
        <w:tc>
          <w:tcPr>
            <w:tcW w:w="2094" w:type="dxa"/>
            <w:tcBorders>
              <w:top w:val="single" w:sz="4" w:space="0" w:color="auto"/>
            </w:tcBorders>
          </w:tcPr>
          <w:p w14:paraId="0BCF62D4" w14:textId="5F0F37E7" w:rsidR="001F0620" w:rsidRDefault="00A74512" w:rsidP="001F062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Program efficiency</w:t>
            </w:r>
          </w:p>
        </w:tc>
        <w:tc>
          <w:tcPr>
            <w:tcW w:w="7561" w:type="dxa"/>
            <w:tcBorders>
              <w:top w:val="single" w:sz="4" w:space="0" w:color="auto"/>
            </w:tcBorders>
          </w:tcPr>
          <w:p w14:paraId="2E0F1F3B" w14:textId="3E5A3B6D" w:rsidR="001F0620" w:rsidRDefault="001F0620" w:rsidP="001F062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The</w:t>
            </w:r>
            <w:r w:rsidR="00A74512">
              <w:rPr>
                <w:rFonts w:ascii="Arial" w:hAnsi="Arial" w:cs="Arial"/>
                <w:sz w:val="20"/>
                <w:szCs w:val="20"/>
                <w:lang w:val="en-AU"/>
              </w:rPr>
              <w:t xml:space="preserve"> following KPIs will be routinely monitored on all patients on the program: </w:t>
            </w:r>
            <w:r w:rsidR="004E53CF">
              <w:rPr>
                <w:rFonts w:ascii="Arial" w:hAnsi="Arial" w:cs="Arial"/>
                <w:sz w:val="20"/>
                <w:szCs w:val="20"/>
                <w:lang w:val="en-AU"/>
              </w:rPr>
              <w:t xml:space="preserve">proportion of low-risk patients on the program, </w:t>
            </w:r>
            <w:r w:rsidR="00A74512">
              <w:rPr>
                <w:rFonts w:ascii="Arial" w:hAnsi="Arial" w:cs="Arial"/>
                <w:sz w:val="20"/>
                <w:szCs w:val="20"/>
                <w:lang w:val="en-AU"/>
              </w:rPr>
              <w:t>i</w:t>
            </w:r>
            <w:r w:rsidRPr="00254D57">
              <w:rPr>
                <w:rFonts w:ascii="Arial" w:hAnsi="Arial" w:cs="Arial"/>
                <w:sz w:val="20"/>
                <w:szCs w:val="20"/>
                <w:lang w:val="en-AU"/>
              </w:rPr>
              <w:t>n-hospital length of stay (LOS)</w:t>
            </w:r>
            <w:r w:rsidR="004E53CF">
              <w:rPr>
                <w:rFonts w:ascii="Arial" w:hAnsi="Arial" w:cs="Arial"/>
                <w:sz w:val="20"/>
                <w:szCs w:val="20"/>
                <w:lang w:val="en-AU"/>
              </w:rPr>
              <w:t>,</w:t>
            </w:r>
            <w:r w:rsidRPr="00254D57">
              <w:rPr>
                <w:rFonts w:ascii="Arial" w:hAnsi="Arial" w:cs="Arial"/>
                <w:sz w:val="20"/>
                <w:szCs w:val="20"/>
                <w:lang w:val="en-AU"/>
              </w:rPr>
              <w:t xml:space="preserve"> HITH LOS</w:t>
            </w:r>
            <w:r w:rsidR="004E53CF">
              <w:rPr>
                <w:rFonts w:ascii="Arial" w:hAnsi="Arial" w:cs="Arial"/>
                <w:sz w:val="20"/>
                <w:szCs w:val="20"/>
                <w:lang w:val="en-AU"/>
              </w:rPr>
              <w:t xml:space="preserve"> and total number of bed days saved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52DE776" w14:textId="77777777" w:rsidR="001F0620" w:rsidRPr="006F05CE" w:rsidRDefault="001F0620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1D156938" w14:textId="77777777" w:rsidR="001F0620" w:rsidRPr="006F05CE" w:rsidRDefault="001F0620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59724A88" w14:textId="77777777" w:rsidR="001F0620" w:rsidRPr="006F05CE" w:rsidRDefault="001F0620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10A21E4C" w14:textId="77777777" w:rsidR="001F0620" w:rsidRPr="006F05CE" w:rsidRDefault="001F0620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367109C0" w14:textId="77777777" w:rsidR="001F0620" w:rsidRPr="006F05CE" w:rsidRDefault="001F0620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298FD0CF" w14:textId="77777777" w:rsidR="001F0620" w:rsidRPr="006F05CE" w:rsidRDefault="001F0620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0D4A68AC" w14:textId="77777777" w:rsidR="001F0620" w:rsidRPr="006F05CE" w:rsidRDefault="001F0620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7A9E4F4B" w14:textId="77777777" w:rsidR="001F0620" w:rsidRPr="006F05CE" w:rsidRDefault="001F0620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2654F505" w14:textId="77777777" w:rsidR="001F0620" w:rsidRPr="006F05CE" w:rsidRDefault="001F0620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24489590" w14:textId="77777777" w:rsidR="001F0620" w:rsidRPr="006F05CE" w:rsidRDefault="001F0620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0F9E7980" w14:textId="77777777" w:rsidR="001F0620" w:rsidRPr="006F05CE" w:rsidRDefault="001F0620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DA7E237" w14:textId="77777777" w:rsidR="001F0620" w:rsidRPr="006F05CE" w:rsidRDefault="001F0620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662C8F" w:rsidRPr="006F05CE" w14:paraId="363EC253" w14:textId="77777777" w:rsidTr="00912735">
        <w:trPr>
          <w:gridAfter w:val="1"/>
          <w:wAfter w:w="7364" w:type="dxa"/>
          <w:trHeight w:val="268"/>
        </w:trPr>
        <w:tc>
          <w:tcPr>
            <w:tcW w:w="2094" w:type="dxa"/>
            <w:vMerge w:val="restart"/>
            <w:tcBorders>
              <w:top w:val="single" w:sz="4" w:space="0" w:color="auto"/>
            </w:tcBorders>
          </w:tcPr>
          <w:p w14:paraId="2F250C6C" w14:textId="230F9D23" w:rsidR="00662C8F" w:rsidRDefault="00662C8F" w:rsidP="001F062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Program quality of life and economic impact</w:t>
            </w:r>
          </w:p>
        </w:tc>
        <w:tc>
          <w:tcPr>
            <w:tcW w:w="7561" w:type="dxa"/>
            <w:tcBorders>
              <w:top w:val="single" w:sz="4" w:space="0" w:color="auto"/>
            </w:tcBorders>
          </w:tcPr>
          <w:p w14:paraId="590C691C" w14:textId="77777777" w:rsidR="00662C8F" w:rsidRDefault="00662C8F" w:rsidP="001F062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Ethics application completed to enable QOL and economic data collection</w:t>
            </w:r>
          </w:p>
          <w:p w14:paraId="3B5A6A18" w14:textId="716F61EB" w:rsidR="00912735" w:rsidRDefault="00912735" w:rsidP="0091273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6A4F2EA" w14:textId="77777777" w:rsidR="00662C8F" w:rsidRPr="006F05CE" w:rsidRDefault="00662C8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5107A677" w14:textId="77777777" w:rsidR="00662C8F" w:rsidRPr="006F05CE" w:rsidRDefault="00662C8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2D8A0A8F" w14:textId="77777777" w:rsidR="00662C8F" w:rsidRPr="006F05CE" w:rsidRDefault="00662C8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23C3D5EF" w14:textId="77777777" w:rsidR="00662C8F" w:rsidRPr="006F05CE" w:rsidRDefault="00662C8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2AF2FE54" w14:textId="77777777" w:rsidR="00662C8F" w:rsidRPr="006F05CE" w:rsidRDefault="00662C8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4713A173" w14:textId="77777777" w:rsidR="00662C8F" w:rsidRPr="006F05CE" w:rsidRDefault="00662C8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572596D0" w14:textId="77777777" w:rsidR="00662C8F" w:rsidRPr="006F05CE" w:rsidRDefault="00662C8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581781D4" w14:textId="77777777" w:rsidR="00662C8F" w:rsidRPr="006F05CE" w:rsidRDefault="00662C8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18DC7ACF" w14:textId="77777777" w:rsidR="00662C8F" w:rsidRPr="006F05CE" w:rsidRDefault="00662C8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5D60140A" w14:textId="77777777" w:rsidR="00662C8F" w:rsidRPr="006F05CE" w:rsidRDefault="00662C8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49EDB05A" w14:textId="77777777" w:rsidR="00662C8F" w:rsidRPr="006F05CE" w:rsidRDefault="00662C8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E935C0A" w14:textId="77777777" w:rsidR="00662C8F" w:rsidRPr="006F05CE" w:rsidRDefault="00662C8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662C8F" w:rsidRPr="006F05CE" w14:paraId="1C6CA5D7" w14:textId="77777777" w:rsidTr="00912735">
        <w:trPr>
          <w:gridAfter w:val="1"/>
          <w:wAfter w:w="7364" w:type="dxa"/>
          <w:trHeight w:val="268"/>
        </w:trPr>
        <w:tc>
          <w:tcPr>
            <w:tcW w:w="2094" w:type="dxa"/>
            <w:vMerge/>
          </w:tcPr>
          <w:p w14:paraId="761CC68A" w14:textId="77777777" w:rsidR="00662C8F" w:rsidRDefault="00662C8F" w:rsidP="001F062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561" w:type="dxa"/>
            <w:tcBorders>
              <w:top w:val="single" w:sz="4" w:space="0" w:color="auto"/>
            </w:tcBorders>
          </w:tcPr>
          <w:p w14:paraId="634A11C3" w14:textId="77777777" w:rsidR="00662C8F" w:rsidRDefault="00662C8F" w:rsidP="001F062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There is capacity to consent patients and carers for QOL surveys</w:t>
            </w:r>
          </w:p>
          <w:p w14:paraId="48F98F26" w14:textId="4C293103" w:rsidR="00912735" w:rsidRDefault="00912735" w:rsidP="0091273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8F577C1" w14:textId="77777777" w:rsidR="00662C8F" w:rsidRPr="006F05CE" w:rsidRDefault="00662C8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6BFFDD82" w14:textId="77777777" w:rsidR="00662C8F" w:rsidRPr="006F05CE" w:rsidRDefault="00662C8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51E1BF7C" w14:textId="77777777" w:rsidR="00662C8F" w:rsidRPr="006F05CE" w:rsidRDefault="00662C8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5C7BCA3E" w14:textId="77777777" w:rsidR="00662C8F" w:rsidRPr="006F05CE" w:rsidRDefault="00662C8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140A9055" w14:textId="77777777" w:rsidR="00662C8F" w:rsidRPr="006F05CE" w:rsidRDefault="00662C8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744FBE41" w14:textId="77777777" w:rsidR="00662C8F" w:rsidRPr="006F05CE" w:rsidRDefault="00662C8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3242B85A" w14:textId="77777777" w:rsidR="00662C8F" w:rsidRPr="006F05CE" w:rsidRDefault="00662C8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44A72E89" w14:textId="77777777" w:rsidR="00662C8F" w:rsidRPr="00912735" w:rsidRDefault="00662C8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5CB10F71" w14:textId="77777777" w:rsidR="00662C8F" w:rsidRPr="006F05CE" w:rsidRDefault="00662C8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0FAA3B72" w14:textId="77777777" w:rsidR="00662C8F" w:rsidRPr="006F05CE" w:rsidRDefault="00662C8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10B72C47" w14:textId="77777777" w:rsidR="00662C8F" w:rsidRPr="006F05CE" w:rsidRDefault="00662C8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E2A6B8B" w14:textId="77777777" w:rsidR="00662C8F" w:rsidRPr="006F05CE" w:rsidRDefault="00662C8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662C8F" w:rsidRPr="006F05CE" w14:paraId="6258EFDE" w14:textId="77777777" w:rsidTr="00912735">
        <w:trPr>
          <w:gridAfter w:val="1"/>
          <w:wAfter w:w="7364" w:type="dxa"/>
          <w:trHeight w:val="268"/>
        </w:trPr>
        <w:tc>
          <w:tcPr>
            <w:tcW w:w="2094" w:type="dxa"/>
            <w:vMerge/>
          </w:tcPr>
          <w:p w14:paraId="520D27E9" w14:textId="77777777" w:rsidR="00662C8F" w:rsidRDefault="00662C8F" w:rsidP="001F062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561" w:type="dxa"/>
            <w:tcBorders>
              <w:top w:val="single" w:sz="4" w:space="0" w:color="auto"/>
            </w:tcBorders>
          </w:tcPr>
          <w:p w14:paraId="5DC0F387" w14:textId="3F168564" w:rsidR="00662C8F" w:rsidRDefault="00662C8F" w:rsidP="001F062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Relevant patient and clinical data is collected to enable local health information systems to provide costing data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E4B72BC" w14:textId="77777777" w:rsidR="00662C8F" w:rsidRPr="006F05CE" w:rsidRDefault="00662C8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3F7D7754" w14:textId="77777777" w:rsidR="00662C8F" w:rsidRPr="006F05CE" w:rsidRDefault="00662C8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4B57B3F9" w14:textId="77777777" w:rsidR="00662C8F" w:rsidRPr="006F05CE" w:rsidRDefault="00662C8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7EA024DB" w14:textId="77777777" w:rsidR="00662C8F" w:rsidRPr="006F05CE" w:rsidRDefault="00662C8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60B2D7BF" w14:textId="77777777" w:rsidR="00662C8F" w:rsidRPr="006F05CE" w:rsidRDefault="00662C8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480BB3B2" w14:textId="77777777" w:rsidR="00662C8F" w:rsidRPr="006F05CE" w:rsidRDefault="00662C8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03F9906E" w14:textId="77777777" w:rsidR="00662C8F" w:rsidRPr="006F05CE" w:rsidRDefault="00662C8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18267A7F" w14:textId="77777777" w:rsidR="00662C8F" w:rsidRPr="006F05CE" w:rsidRDefault="00662C8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173605E6" w14:textId="77777777" w:rsidR="00662C8F" w:rsidRPr="006F05CE" w:rsidRDefault="00662C8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0E8CFF08" w14:textId="77777777" w:rsidR="00662C8F" w:rsidRPr="006F05CE" w:rsidRDefault="00662C8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52208B67" w14:textId="77777777" w:rsidR="00662C8F" w:rsidRPr="006F05CE" w:rsidRDefault="00662C8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590E2C8" w14:textId="77777777" w:rsidR="00662C8F" w:rsidRPr="006F05CE" w:rsidRDefault="00662C8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1F0620" w:rsidRPr="006F05CE" w14:paraId="246609F0" w14:textId="77777777" w:rsidTr="00912735">
        <w:trPr>
          <w:gridAfter w:val="1"/>
          <w:wAfter w:w="7364" w:type="dxa"/>
          <w:trHeight w:val="268"/>
        </w:trPr>
        <w:tc>
          <w:tcPr>
            <w:tcW w:w="2094" w:type="dxa"/>
            <w:tcBorders>
              <w:top w:val="single" w:sz="4" w:space="0" w:color="auto"/>
            </w:tcBorders>
          </w:tcPr>
          <w:p w14:paraId="1C1AF4C4" w14:textId="62C9AE41" w:rsidR="001F0620" w:rsidRDefault="00A74512" w:rsidP="001F062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Feedback</w:t>
            </w:r>
            <w:r w:rsidR="004E53CF">
              <w:rPr>
                <w:rFonts w:ascii="Arial" w:hAnsi="Arial" w:cs="Arial"/>
                <w:color w:val="333333"/>
                <w:sz w:val="20"/>
                <w:szCs w:val="20"/>
              </w:rPr>
              <w:t xml:space="preserve"> to staff and consumers</w:t>
            </w:r>
          </w:p>
        </w:tc>
        <w:tc>
          <w:tcPr>
            <w:tcW w:w="7561" w:type="dxa"/>
            <w:tcBorders>
              <w:top w:val="single" w:sz="4" w:space="0" w:color="auto"/>
            </w:tcBorders>
          </w:tcPr>
          <w:p w14:paraId="512CBCE6" w14:textId="631E297E" w:rsidR="001F0620" w:rsidRDefault="00A74512" w:rsidP="001F062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Processes for regular staff and consumer feedback has been identified and program safety and efficiency KPIs are feedback regularly to stakeholders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C579826" w14:textId="77777777" w:rsidR="001F0620" w:rsidRPr="006F05CE" w:rsidRDefault="001F0620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0774C66B" w14:textId="77777777" w:rsidR="001F0620" w:rsidRPr="006F05CE" w:rsidRDefault="001F0620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25ECBDD5" w14:textId="77777777" w:rsidR="001F0620" w:rsidRPr="006F05CE" w:rsidRDefault="001F0620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063B4862" w14:textId="77777777" w:rsidR="001F0620" w:rsidRPr="006F05CE" w:rsidRDefault="001F0620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2B548D54" w14:textId="77777777" w:rsidR="001F0620" w:rsidRPr="006F05CE" w:rsidRDefault="001F0620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65BE8C0E" w14:textId="77777777" w:rsidR="001F0620" w:rsidRPr="006F05CE" w:rsidRDefault="001F0620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5A0FEC4C" w14:textId="77777777" w:rsidR="001F0620" w:rsidRPr="006F05CE" w:rsidRDefault="001F0620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</w:tcPr>
          <w:p w14:paraId="2FE8F913" w14:textId="77777777" w:rsidR="001F0620" w:rsidRPr="006F05CE" w:rsidRDefault="001F0620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14:paraId="17A82319" w14:textId="77777777" w:rsidR="001F0620" w:rsidRPr="006F05CE" w:rsidRDefault="001F0620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14:paraId="28573DB7" w14:textId="77777777" w:rsidR="001F0620" w:rsidRPr="006F05CE" w:rsidRDefault="001F0620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35E761D5" w14:textId="77777777" w:rsidR="001F0620" w:rsidRPr="006F05CE" w:rsidRDefault="001F0620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8A105BE" w14:textId="77777777" w:rsidR="001F0620" w:rsidRPr="006F05CE" w:rsidRDefault="001F0620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4E53CF" w:rsidRPr="006F05CE" w14:paraId="16F4601F" w14:textId="55FFA792" w:rsidTr="00912735">
        <w:trPr>
          <w:gridAfter w:val="1"/>
          <w:wAfter w:w="7364" w:type="dxa"/>
          <w:trHeight w:val="268"/>
        </w:trPr>
        <w:tc>
          <w:tcPr>
            <w:tcW w:w="2094" w:type="dxa"/>
            <w:vMerge w:val="restart"/>
          </w:tcPr>
          <w:p w14:paraId="65E7B223" w14:textId="2D12F05D" w:rsidR="004E53CF" w:rsidRPr="006F05CE" w:rsidRDefault="004E53CF" w:rsidP="001F062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Feedback from staff and consumers</w:t>
            </w:r>
          </w:p>
        </w:tc>
        <w:tc>
          <w:tcPr>
            <w:tcW w:w="7561" w:type="dxa"/>
          </w:tcPr>
          <w:p w14:paraId="01CCF9EA" w14:textId="7AA22B71" w:rsidR="004E53CF" w:rsidRPr="00254D57" w:rsidRDefault="004E53CF" w:rsidP="001F062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There is opportunity and process for staff and consumer feedback about the program, in particular any previously unrecognised barriers to safety and efficiency. </w:t>
            </w:r>
          </w:p>
        </w:tc>
        <w:tc>
          <w:tcPr>
            <w:tcW w:w="0" w:type="auto"/>
          </w:tcPr>
          <w:p w14:paraId="2F9C36F0" w14:textId="77777777" w:rsidR="004E53CF" w:rsidRPr="006F05CE" w:rsidRDefault="004E53C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51BB8DF" w14:textId="77777777" w:rsidR="004E53CF" w:rsidRPr="006F05CE" w:rsidRDefault="004E53C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798C27C2" w14:textId="77777777" w:rsidR="004E53CF" w:rsidRPr="006F05CE" w:rsidRDefault="004E53C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6EF3E613" w14:textId="77777777" w:rsidR="004E53CF" w:rsidRPr="006F05CE" w:rsidRDefault="004E53C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6D7AE6BC" w14:textId="77777777" w:rsidR="004E53CF" w:rsidRPr="006F05CE" w:rsidRDefault="004E53C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61A5100" w14:textId="77777777" w:rsidR="004E53CF" w:rsidRPr="006F05CE" w:rsidRDefault="004E53C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560060C7" w14:textId="77777777" w:rsidR="004E53CF" w:rsidRPr="006F05CE" w:rsidRDefault="004E53C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29D82EC9" w14:textId="77777777" w:rsidR="004E53CF" w:rsidRPr="006F05CE" w:rsidRDefault="004E53C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630FE3BC" w14:textId="77777777" w:rsidR="004E53CF" w:rsidRPr="006F05CE" w:rsidRDefault="004E53C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699898C" w14:textId="77777777" w:rsidR="004E53CF" w:rsidRPr="006F05CE" w:rsidRDefault="004E53C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085AF844" w14:textId="77777777" w:rsidR="004E53CF" w:rsidRPr="006F05CE" w:rsidRDefault="004E53C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</w:tcPr>
          <w:p w14:paraId="351036D0" w14:textId="77777777" w:rsidR="004E53CF" w:rsidRPr="006F05CE" w:rsidRDefault="004E53C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4E53CF" w:rsidRPr="006F05CE" w14:paraId="3C64B029" w14:textId="77777777" w:rsidTr="00912735">
        <w:trPr>
          <w:gridAfter w:val="1"/>
          <w:wAfter w:w="7364" w:type="dxa"/>
          <w:trHeight w:val="268"/>
        </w:trPr>
        <w:tc>
          <w:tcPr>
            <w:tcW w:w="2094" w:type="dxa"/>
            <w:vMerge/>
          </w:tcPr>
          <w:p w14:paraId="4ABA2C9A" w14:textId="77777777" w:rsidR="004E53CF" w:rsidRDefault="004E53CF" w:rsidP="001F062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561" w:type="dxa"/>
          </w:tcPr>
          <w:p w14:paraId="634DE789" w14:textId="61C884A1" w:rsidR="004E53CF" w:rsidRDefault="004E53CF" w:rsidP="001F062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Program documents and education are updated as required to maximise safety and efficiency</w:t>
            </w:r>
          </w:p>
        </w:tc>
        <w:tc>
          <w:tcPr>
            <w:tcW w:w="0" w:type="auto"/>
          </w:tcPr>
          <w:p w14:paraId="3EB85992" w14:textId="77777777" w:rsidR="004E53CF" w:rsidRPr="006F05CE" w:rsidRDefault="004E53C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15117F8" w14:textId="77777777" w:rsidR="004E53CF" w:rsidRPr="006F05CE" w:rsidRDefault="004E53C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5F116E71" w14:textId="77777777" w:rsidR="004E53CF" w:rsidRPr="006F05CE" w:rsidRDefault="004E53C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AC6CDBA" w14:textId="77777777" w:rsidR="004E53CF" w:rsidRPr="006F05CE" w:rsidRDefault="004E53C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77CF28E4" w14:textId="77777777" w:rsidR="004E53CF" w:rsidRPr="006F05CE" w:rsidRDefault="004E53C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160A83D" w14:textId="77777777" w:rsidR="004E53CF" w:rsidRPr="006F05CE" w:rsidRDefault="004E53C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54231E46" w14:textId="77777777" w:rsidR="004E53CF" w:rsidRPr="006F05CE" w:rsidRDefault="004E53C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624D55C5" w14:textId="77777777" w:rsidR="004E53CF" w:rsidRPr="006F05CE" w:rsidRDefault="004E53C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4BE04773" w14:textId="77777777" w:rsidR="004E53CF" w:rsidRPr="006F05CE" w:rsidRDefault="004E53C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7621DB4B" w14:textId="77777777" w:rsidR="004E53CF" w:rsidRPr="006F05CE" w:rsidRDefault="004E53C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0BE6C842" w14:textId="77777777" w:rsidR="004E53CF" w:rsidRPr="006F05CE" w:rsidRDefault="004E53C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</w:tcPr>
          <w:p w14:paraId="2F9D30C5" w14:textId="77777777" w:rsidR="004E53CF" w:rsidRPr="006F05CE" w:rsidRDefault="004E53CF" w:rsidP="001F062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14:paraId="381841F4" w14:textId="77777777" w:rsidR="00D54059" w:rsidRPr="00D54059" w:rsidRDefault="00D54059">
      <w:pPr>
        <w:rPr>
          <w:lang w:val="en-AU"/>
        </w:rPr>
      </w:pPr>
    </w:p>
    <w:sectPr w:rsidR="00D54059" w:rsidRPr="00D54059" w:rsidSect="00302885">
      <w:foot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DB301" w14:textId="77777777" w:rsidR="00BD52CB" w:rsidRDefault="00BD52CB" w:rsidP="003138EC">
      <w:r>
        <w:separator/>
      </w:r>
    </w:p>
  </w:endnote>
  <w:endnote w:type="continuationSeparator" w:id="0">
    <w:p w14:paraId="1C1D2061" w14:textId="77777777" w:rsidR="00BD52CB" w:rsidRDefault="00BD52CB" w:rsidP="0031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3C40F" w14:textId="137083A5" w:rsidR="003138EC" w:rsidRPr="000A3CBF" w:rsidRDefault="003138EC" w:rsidP="003138EC">
    <w:pPr>
      <w:pStyle w:val="Footer"/>
      <w:rPr>
        <w:sz w:val="16"/>
        <w:szCs w:val="16"/>
      </w:rPr>
    </w:pPr>
    <w:r w:rsidRPr="000A3CBF">
      <w:rPr>
        <w:sz w:val="16"/>
        <w:szCs w:val="16"/>
      </w:rPr>
      <w:t>Low Risk Febrile Neutropenia Program</w:t>
    </w:r>
    <w:r w:rsidR="000A3CBF" w:rsidRPr="000A3CBF">
      <w:rPr>
        <w:sz w:val="16"/>
        <w:szCs w:val="16"/>
      </w:rPr>
      <w:t>: Organisational Readiness Assessment</w:t>
    </w:r>
  </w:p>
  <w:p w14:paraId="703FE19D" w14:textId="77777777" w:rsidR="000A3CBF" w:rsidRPr="000A3CBF" w:rsidRDefault="000A3CBF" w:rsidP="000A3CBF">
    <w:pPr>
      <w:pStyle w:val="Footer"/>
      <w:rPr>
        <w:sz w:val="16"/>
        <w:szCs w:val="16"/>
      </w:rPr>
    </w:pPr>
    <w:r w:rsidRPr="000A3CBF">
      <w:rPr>
        <w:sz w:val="16"/>
        <w:szCs w:val="16"/>
      </w:rPr>
      <w:t>Version: 1.0</w:t>
    </w:r>
  </w:p>
  <w:p w14:paraId="16352F8B" w14:textId="0D7E8BC6" w:rsidR="003138EC" w:rsidRPr="000A3CBF" w:rsidRDefault="003138EC" w:rsidP="003138EC">
    <w:pPr>
      <w:pStyle w:val="Footer"/>
      <w:rPr>
        <w:sz w:val="16"/>
        <w:szCs w:val="16"/>
      </w:rPr>
    </w:pPr>
    <w:r w:rsidRPr="000A3CBF">
      <w:rPr>
        <w:sz w:val="16"/>
        <w:szCs w:val="16"/>
      </w:rPr>
      <w:t xml:space="preserve">Date: </w:t>
    </w:r>
    <w:r w:rsidR="000A3CBF" w:rsidRPr="000A3CBF">
      <w:rPr>
        <w:sz w:val="16"/>
        <w:szCs w:val="16"/>
      </w:rPr>
      <w:t>3</w:t>
    </w:r>
    <w:r w:rsidRPr="000A3CBF">
      <w:rPr>
        <w:sz w:val="16"/>
        <w:szCs w:val="16"/>
      </w:rPr>
      <w:t>1 January 2019</w:t>
    </w:r>
  </w:p>
  <w:p w14:paraId="5E771A38" w14:textId="77777777" w:rsidR="000A3CBF" w:rsidRDefault="000A3C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A0A50" w14:textId="77777777" w:rsidR="00BD52CB" w:rsidRDefault="00BD52CB" w:rsidP="003138EC">
      <w:r>
        <w:separator/>
      </w:r>
    </w:p>
  </w:footnote>
  <w:footnote w:type="continuationSeparator" w:id="0">
    <w:p w14:paraId="239E8722" w14:textId="77777777" w:rsidR="00BD52CB" w:rsidRDefault="00BD52CB" w:rsidP="00313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43A9"/>
    <w:multiLevelType w:val="hybridMultilevel"/>
    <w:tmpl w:val="E52C6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61081"/>
    <w:multiLevelType w:val="hybridMultilevel"/>
    <w:tmpl w:val="B5F86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4D678C"/>
    <w:multiLevelType w:val="multilevel"/>
    <w:tmpl w:val="964EACB6"/>
    <w:lvl w:ilvl="0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8B4863"/>
    <w:multiLevelType w:val="hybridMultilevel"/>
    <w:tmpl w:val="964EACB6"/>
    <w:lvl w:ilvl="0" w:tplc="9588FCD2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CB393E"/>
    <w:multiLevelType w:val="multilevel"/>
    <w:tmpl w:val="C1F6A8BA"/>
    <w:lvl w:ilvl="0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970DAB"/>
    <w:multiLevelType w:val="hybridMultilevel"/>
    <w:tmpl w:val="09EA9108"/>
    <w:lvl w:ilvl="0" w:tplc="0A98BA20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97323A"/>
    <w:multiLevelType w:val="hybridMultilevel"/>
    <w:tmpl w:val="2A289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7217B1"/>
    <w:multiLevelType w:val="multilevel"/>
    <w:tmpl w:val="45BE196E"/>
    <w:lvl w:ilvl="0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37368F"/>
    <w:multiLevelType w:val="multilevel"/>
    <w:tmpl w:val="09EA9108"/>
    <w:lvl w:ilvl="0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BE1C2C"/>
    <w:multiLevelType w:val="multilevel"/>
    <w:tmpl w:val="7F6EFCB4"/>
    <w:lvl w:ilvl="0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CA0CF3"/>
    <w:multiLevelType w:val="hybridMultilevel"/>
    <w:tmpl w:val="CC50B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4D203A"/>
    <w:multiLevelType w:val="hybridMultilevel"/>
    <w:tmpl w:val="F20C5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30108C"/>
    <w:multiLevelType w:val="hybridMultilevel"/>
    <w:tmpl w:val="43DE0E80"/>
    <w:lvl w:ilvl="0" w:tplc="125498D8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667A3F"/>
    <w:multiLevelType w:val="multilevel"/>
    <w:tmpl w:val="43DE0E80"/>
    <w:lvl w:ilvl="0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BB504D"/>
    <w:multiLevelType w:val="multilevel"/>
    <w:tmpl w:val="BF246B82"/>
    <w:lvl w:ilvl="0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501E23"/>
    <w:multiLevelType w:val="hybridMultilevel"/>
    <w:tmpl w:val="8D70A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5E5815"/>
    <w:multiLevelType w:val="multilevel"/>
    <w:tmpl w:val="24FEAF40"/>
    <w:lvl w:ilvl="0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E802F8"/>
    <w:multiLevelType w:val="multilevel"/>
    <w:tmpl w:val="58A41736"/>
    <w:lvl w:ilvl="0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4E4578"/>
    <w:multiLevelType w:val="hybridMultilevel"/>
    <w:tmpl w:val="2200C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C04BF9"/>
    <w:multiLevelType w:val="multilevel"/>
    <w:tmpl w:val="F9BA1824"/>
    <w:lvl w:ilvl="0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6075E4"/>
    <w:multiLevelType w:val="hybridMultilevel"/>
    <w:tmpl w:val="D8A24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025516"/>
    <w:multiLevelType w:val="hybridMultilevel"/>
    <w:tmpl w:val="9ED26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2F004E"/>
    <w:multiLevelType w:val="hybridMultilevel"/>
    <w:tmpl w:val="1D5E1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3"/>
  </w:num>
  <w:num w:numId="5">
    <w:abstractNumId w:val="2"/>
  </w:num>
  <w:num w:numId="6">
    <w:abstractNumId w:val="6"/>
  </w:num>
  <w:num w:numId="7">
    <w:abstractNumId w:val="21"/>
  </w:num>
  <w:num w:numId="8">
    <w:abstractNumId w:val="19"/>
  </w:num>
  <w:num w:numId="9">
    <w:abstractNumId w:val="12"/>
  </w:num>
  <w:num w:numId="10">
    <w:abstractNumId w:val="13"/>
  </w:num>
  <w:num w:numId="11">
    <w:abstractNumId w:val="1"/>
  </w:num>
  <w:num w:numId="12">
    <w:abstractNumId w:val="15"/>
  </w:num>
  <w:num w:numId="13">
    <w:abstractNumId w:val="4"/>
  </w:num>
  <w:num w:numId="14">
    <w:abstractNumId w:val="0"/>
  </w:num>
  <w:num w:numId="15">
    <w:abstractNumId w:val="14"/>
  </w:num>
  <w:num w:numId="16">
    <w:abstractNumId w:val="22"/>
  </w:num>
  <w:num w:numId="17">
    <w:abstractNumId w:val="17"/>
  </w:num>
  <w:num w:numId="18">
    <w:abstractNumId w:val="10"/>
  </w:num>
  <w:num w:numId="19">
    <w:abstractNumId w:val="16"/>
  </w:num>
  <w:num w:numId="20">
    <w:abstractNumId w:val="18"/>
  </w:num>
  <w:num w:numId="21">
    <w:abstractNumId w:val="7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059"/>
    <w:rsid w:val="00021117"/>
    <w:rsid w:val="00060045"/>
    <w:rsid w:val="00090A70"/>
    <w:rsid w:val="000A3CBF"/>
    <w:rsid w:val="00117746"/>
    <w:rsid w:val="0013171D"/>
    <w:rsid w:val="00147528"/>
    <w:rsid w:val="001644B9"/>
    <w:rsid w:val="0019310C"/>
    <w:rsid w:val="00193CA3"/>
    <w:rsid w:val="001C74BB"/>
    <w:rsid w:val="001F0620"/>
    <w:rsid w:val="001F3585"/>
    <w:rsid w:val="00254D57"/>
    <w:rsid w:val="002A0DC2"/>
    <w:rsid w:val="002C27B4"/>
    <w:rsid w:val="002C5B60"/>
    <w:rsid w:val="002D7DA1"/>
    <w:rsid w:val="002F3816"/>
    <w:rsid w:val="003000D1"/>
    <w:rsid w:val="00302885"/>
    <w:rsid w:val="003138EC"/>
    <w:rsid w:val="0031536F"/>
    <w:rsid w:val="00324F88"/>
    <w:rsid w:val="00334121"/>
    <w:rsid w:val="00374D9C"/>
    <w:rsid w:val="003D4401"/>
    <w:rsid w:val="003F5F4B"/>
    <w:rsid w:val="0040116A"/>
    <w:rsid w:val="00410B18"/>
    <w:rsid w:val="0042628E"/>
    <w:rsid w:val="00437E64"/>
    <w:rsid w:val="00441631"/>
    <w:rsid w:val="00476D6F"/>
    <w:rsid w:val="00496E95"/>
    <w:rsid w:val="004E53CF"/>
    <w:rsid w:val="005344DB"/>
    <w:rsid w:val="00577F88"/>
    <w:rsid w:val="005F26D2"/>
    <w:rsid w:val="005F720C"/>
    <w:rsid w:val="00604725"/>
    <w:rsid w:val="00605FA6"/>
    <w:rsid w:val="00662C8F"/>
    <w:rsid w:val="00682B0E"/>
    <w:rsid w:val="006B0FFD"/>
    <w:rsid w:val="006C7718"/>
    <w:rsid w:val="006F05CE"/>
    <w:rsid w:val="006F1B53"/>
    <w:rsid w:val="00744986"/>
    <w:rsid w:val="0078155F"/>
    <w:rsid w:val="007874D4"/>
    <w:rsid w:val="007C20D6"/>
    <w:rsid w:val="00814868"/>
    <w:rsid w:val="00844FCA"/>
    <w:rsid w:val="00845F7E"/>
    <w:rsid w:val="0085682E"/>
    <w:rsid w:val="008C4E22"/>
    <w:rsid w:val="008E3600"/>
    <w:rsid w:val="00912735"/>
    <w:rsid w:val="00965424"/>
    <w:rsid w:val="0098571C"/>
    <w:rsid w:val="009B324F"/>
    <w:rsid w:val="009E0562"/>
    <w:rsid w:val="00A25C90"/>
    <w:rsid w:val="00A31D0D"/>
    <w:rsid w:val="00A321E0"/>
    <w:rsid w:val="00A67391"/>
    <w:rsid w:val="00A74512"/>
    <w:rsid w:val="00AC7569"/>
    <w:rsid w:val="00B2581F"/>
    <w:rsid w:val="00B364A8"/>
    <w:rsid w:val="00B90471"/>
    <w:rsid w:val="00BD52CB"/>
    <w:rsid w:val="00BE0AD9"/>
    <w:rsid w:val="00C06BB8"/>
    <w:rsid w:val="00C07CEF"/>
    <w:rsid w:val="00C12D77"/>
    <w:rsid w:val="00C24876"/>
    <w:rsid w:val="00C731EE"/>
    <w:rsid w:val="00CE1388"/>
    <w:rsid w:val="00D378E6"/>
    <w:rsid w:val="00D54059"/>
    <w:rsid w:val="00D57204"/>
    <w:rsid w:val="00D93751"/>
    <w:rsid w:val="00D97CAF"/>
    <w:rsid w:val="00DC13BA"/>
    <w:rsid w:val="00E336BF"/>
    <w:rsid w:val="00E55184"/>
    <w:rsid w:val="00E66B2D"/>
    <w:rsid w:val="00E71D32"/>
    <w:rsid w:val="00E817E3"/>
    <w:rsid w:val="00EE6C89"/>
    <w:rsid w:val="00EF15A2"/>
    <w:rsid w:val="00F25737"/>
    <w:rsid w:val="00F73F4F"/>
    <w:rsid w:val="00FA72AE"/>
    <w:rsid w:val="00FE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482D2"/>
  <w14:defaultImageDpi w14:val="32767"/>
  <w15:chartTrackingRefBased/>
  <w15:docId w15:val="{7408EDFC-9E8F-554D-B387-4A5FA7EF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51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8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8EC"/>
  </w:style>
  <w:style w:type="paragraph" w:styleId="Footer">
    <w:name w:val="footer"/>
    <w:basedOn w:val="Normal"/>
    <w:link w:val="FooterChar"/>
    <w:uiPriority w:val="99"/>
    <w:unhideWhenUsed/>
    <w:rsid w:val="003138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8EC"/>
  </w:style>
  <w:style w:type="paragraph" w:styleId="BalloonText">
    <w:name w:val="Balloon Text"/>
    <w:basedOn w:val="Normal"/>
    <w:link w:val="BalloonTextChar"/>
    <w:uiPriority w:val="99"/>
    <w:semiHidden/>
    <w:unhideWhenUsed/>
    <w:rsid w:val="004262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8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551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2019-03-29T02:01:00Z</dcterms:created>
  <dcterms:modified xsi:type="dcterms:W3CDTF">2019-03-29T02:01:00Z</dcterms:modified>
</cp:coreProperties>
</file>